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683A43" w14:textId="77777777" w:rsidR="006E5D33" w:rsidRPr="00C40AE3" w:rsidRDefault="006E5D33" w:rsidP="00BF4377">
      <w:pPr>
        <w:pStyle w:val="WMP-header2"/>
        <w:outlineLvl w:val="1"/>
      </w:pPr>
      <w:bookmarkStart w:id="0" w:name="_Toc105070928"/>
      <w:bookmarkStart w:id="1" w:name="_Toc111629316"/>
      <w:r w:rsidRPr="00C40AE3">
        <w:t>2.2 Communities and Current Land Use</w:t>
      </w:r>
      <w:bookmarkEnd w:id="0"/>
      <w:bookmarkEnd w:id="1"/>
    </w:p>
    <w:p w14:paraId="6E8FEBE9" w14:textId="77777777" w:rsidR="006E5D33" w:rsidRPr="00C40AE3" w:rsidRDefault="006E5D33" w:rsidP="006E5D33">
      <w:pPr>
        <w:pStyle w:val="NormalWeb"/>
        <w:spacing w:before="0" w:beforeAutospacing="0" w:after="120" w:afterAutospacing="0"/>
        <w:rPr>
          <w:rFonts w:ascii="Arial" w:hAnsi="Arial" w:cs="Arial"/>
          <w:sz w:val="32"/>
          <w:szCs w:val="32"/>
        </w:rPr>
      </w:pPr>
    </w:p>
    <w:p w14:paraId="225A461A" w14:textId="77777777" w:rsidR="006E5D33" w:rsidRPr="00C40AE3" w:rsidRDefault="006E5D33" w:rsidP="00BF4377">
      <w:pPr>
        <w:pStyle w:val="WMP-header3"/>
        <w:outlineLvl w:val="2"/>
      </w:pPr>
      <w:bookmarkStart w:id="2" w:name="_Toc105070929"/>
      <w:bookmarkStart w:id="3" w:name="_Toc111629317"/>
      <w:r w:rsidRPr="00C40AE3">
        <w:t>2.2.1</w:t>
      </w:r>
      <w:r>
        <w:t>.</w:t>
      </w:r>
      <w:r w:rsidRPr="00C40AE3">
        <w:t xml:space="preserve"> Political Structure</w:t>
      </w:r>
      <w:bookmarkEnd w:id="2"/>
      <w:bookmarkEnd w:id="3"/>
    </w:p>
    <w:p w14:paraId="7B00E739" w14:textId="77777777" w:rsidR="00F155A6" w:rsidRPr="00C96761" w:rsidRDefault="00F155A6" w:rsidP="006E5D33">
      <w:pPr>
        <w:pStyle w:val="NormalWeb"/>
        <w:spacing w:before="0" w:beforeAutospacing="0" w:after="0" w:afterAutospacing="0"/>
        <w:rPr>
          <w:rFonts w:ascii="Arial" w:hAnsi="Arial" w:cs="Arial"/>
          <w:color w:val="FF0000"/>
          <w:sz w:val="22"/>
          <w:szCs w:val="22"/>
        </w:rPr>
      </w:pPr>
    </w:p>
    <w:p w14:paraId="406833E3" w14:textId="38DA4237" w:rsidR="00EF12C2" w:rsidRDefault="00EF12C2" w:rsidP="00EF12C2">
      <w:pPr>
        <w:rPr>
          <w:rFonts w:ascii="Arial" w:hAnsi="Arial" w:cs="Arial"/>
          <w:sz w:val="22"/>
          <w:szCs w:val="22"/>
        </w:rPr>
      </w:pPr>
      <w:r w:rsidRPr="00CF3E8F">
        <w:rPr>
          <w:rFonts w:ascii="Arial" w:hAnsi="Arial" w:cs="Arial"/>
          <w:sz w:val="22"/>
          <w:szCs w:val="22"/>
        </w:rPr>
        <w:t xml:space="preserve">The drainage area to the Watershed is </w:t>
      </w:r>
      <w:r>
        <w:rPr>
          <w:rFonts w:ascii="Arial" w:hAnsi="Arial" w:cs="Arial"/>
          <w:sz w:val="22"/>
          <w:szCs w:val="22"/>
        </w:rPr>
        <w:t xml:space="preserve">36 </w:t>
      </w:r>
      <w:r w:rsidRPr="00CF3E8F">
        <w:rPr>
          <w:rFonts w:ascii="Arial" w:hAnsi="Arial" w:cs="Arial"/>
          <w:sz w:val="22"/>
          <w:szCs w:val="22"/>
        </w:rPr>
        <w:t>square miles (</w:t>
      </w:r>
      <w:r>
        <w:rPr>
          <w:rFonts w:ascii="Arial" w:hAnsi="Arial" w:cs="Arial"/>
          <w:sz w:val="22"/>
          <w:szCs w:val="22"/>
        </w:rPr>
        <w:t>23,039</w:t>
      </w:r>
      <w:r w:rsidRPr="00CF3E8F">
        <w:rPr>
          <w:rFonts w:ascii="Arial" w:hAnsi="Arial" w:cs="Arial"/>
          <w:sz w:val="22"/>
          <w:szCs w:val="22"/>
        </w:rPr>
        <w:t xml:space="preserve"> acres), representing approximately </w:t>
      </w:r>
      <w:r>
        <w:rPr>
          <w:rFonts w:ascii="Arial" w:hAnsi="Arial" w:cs="Arial"/>
          <w:sz w:val="22"/>
          <w:szCs w:val="22"/>
        </w:rPr>
        <w:t>4</w:t>
      </w:r>
      <w:r w:rsidRPr="00864457">
        <w:rPr>
          <w:rFonts w:ascii="Arial" w:hAnsi="Arial" w:cs="Arial"/>
          <w:sz w:val="22"/>
          <w:szCs w:val="22"/>
        </w:rPr>
        <w:t>%</w:t>
      </w:r>
      <w:r w:rsidRPr="00CF3E8F">
        <w:rPr>
          <w:rFonts w:ascii="Arial" w:hAnsi="Arial" w:cs="Arial"/>
          <w:sz w:val="22"/>
          <w:szCs w:val="22"/>
        </w:rPr>
        <w:t xml:space="preserve"> of the </w:t>
      </w:r>
      <w:r>
        <w:rPr>
          <w:rFonts w:ascii="Arial" w:hAnsi="Arial" w:cs="Arial"/>
          <w:sz w:val="22"/>
          <w:szCs w:val="22"/>
        </w:rPr>
        <w:t xml:space="preserve">total </w:t>
      </w:r>
      <w:r w:rsidRPr="00CF3E8F">
        <w:rPr>
          <w:rFonts w:ascii="Arial" w:hAnsi="Arial" w:cs="Arial"/>
          <w:sz w:val="22"/>
          <w:szCs w:val="22"/>
        </w:rPr>
        <w:t xml:space="preserve">Huron River Watershed. </w:t>
      </w:r>
      <w:r>
        <w:rPr>
          <w:rFonts w:ascii="Arial" w:hAnsi="Arial" w:cs="Arial"/>
          <w:sz w:val="22"/>
          <w:szCs w:val="22"/>
        </w:rPr>
        <w:t xml:space="preserve"> </w:t>
      </w:r>
      <w:r w:rsidRPr="00CF3E8F">
        <w:rPr>
          <w:rFonts w:ascii="Arial" w:hAnsi="Arial" w:cs="Arial"/>
          <w:sz w:val="22"/>
          <w:szCs w:val="22"/>
        </w:rPr>
        <w:t xml:space="preserve">All or portions of </w:t>
      </w:r>
      <w:r w:rsidR="008072E3">
        <w:rPr>
          <w:rFonts w:ascii="Arial" w:hAnsi="Arial" w:cs="Arial"/>
          <w:sz w:val="22"/>
          <w:szCs w:val="22"/>
        </w:rPr>
        <w:t>7</w:t>
      </w:r>
      <w:r w:rsidRPr="00CF3E8F">
        <w:rPr>
          <w:rFonts w:ascii="Arial" w:hAnsi="Arial" w:cs="Arial"/>
          <w:sz w:val="22"/>
          <w:szCs w:val="22"/>
        </w:rPr>
        <w:t xml:space="preserve"> </w:t>
      </w:r>
      <w:r>
        <w:rPr>
          <w:rFonts w:ascii="Arial" w:hAnsi="Arial" w:cs="Arial"/>
          <w:sz w:val="22"/>
          <w:szCs w:val="22"/>
        </w:rPr>
        <w:t>municipalities (not counting Federal or State</w:t>
      </w:r>
      <w:r w:rsidR="008072E3">
        <w:rPr>
          <w:rFonts w:ascii="Arial" w:hAnsi="Arial" w:cs="Arial"/>
          <w:sz w:val="22"/>
          <w:szCs w:val="22"/>
        </w:rPr>
        <w:t xml:space="preserve"> or County</w:t>
      </w:r>
      <w:r>
        <w:rPr>
          <w:rFonts w:ascii="Arial" w:hAnsi="Arial" w:cs="Arial"/>
          <w:sz w:val="22"/>
          <w:szCs w:val="22"/>
        </w:rPr>
        <w:t xml:space="preserve">) </w:t>
      </w:r>
      <w:r w:rsidRPr="00CF3E8F">
        <w:rPr>
          <w:rFonts w:ascii="Arial" w:hAnsi="Arial" w:cs="Arial"/>
          <w:sz w:val="22"/>
          <w:szCs w:val="22"/>
        </w:rPr>
        <w:t>are situated in the Watershed</w:t>
      </w:r>
      <w:r w:rsidR="00541395">
        <w:rPr>
          <w:rFonts w:ascii="Arial" w:hAnsi="Arial" w:cs="Arial"/>
          <w:sz w:val="22"/>
          <w:szCs w:val="22"/>
        </w:rPr>
        <w:t xml:space="preserve">: </w:t>
      </w:r>
      <w:proofErr w:type="gramStart"/>
      <w:r w:rsidR="00541395">
        <w:rPr>
          <w:rFonts w:ascii="Arial" w:hAnsi="Arial" w:cs="Arial"/>
          <w:sz w:val="22"/>
          <w:szCs w:val="22"/>
        </w:rPr>
        <w:t>the</w:t>
      </w:r>
      <w:proofErr w:type="gramEnd"/>
      <w:r w:rsidR="00541395">
        <w:rPr>
          <w:rFonts w:ascii="Arial" w:hAnsi="Arial" w:cs="Arial"/>
          <w:sz w:val="22"/>
          <w:szCs w:val="22"/>
        </w:rPr>
        <w:t xml:space="preserve"> Cities of Belleville and Ypsilanti, and </w:t>
      </w:r>
      <w:r w:rsidR="00FA244E">
        <w:rPr>
          <w:rFonts w:ascii="Arial" w:hAnsi="Arial" w:cs="Arial"/>
          <w:sz w:val="22"/>
          <w:szCs w:val="22"/>
        </w:rPr>
        <w:t xml:space="preserve">the townships of </w:t>
      </w:r>
      <w:r w:rsidR="00541F1D">
        <w:rPr>
          <w:rFonts w:ascii="Arial" w:hAnsi="Arial" w:cs="Arial"/>
          <w:sz w:val="22"/>
          <w:szCs w:val="22"/>
        </w:rPr>
        <w:t xml:space="preserve">Ann Arbor, </w:t>
      </w:r>
      <w:r w:rsidR="00FA244E">
        <w:rPr>
          <w:rFonts w:ascii="Arial" w:hAnsi="Arial" w:cs="Arial"/>
          <w:sz w:val="22"/>
          <w:szCs w:val="22"/>
        </w:rPr>
        <w:t>Romulus, Superior, Van Buren, Ypsilan</w:t>
      </w:r>
      <w:r w:rsidR="00E14833">
        <w:rPr>
          <w:rFonts w:ascii="Arial" w:hAnsi="Arial" w:cs="Arial"/>
          <w:sz w:val="22"/>
          <w:szCs w:val="22"/>
        </w:rPr>
        <w:t>t</w:t>
      </w:r>
      <w:r w:rsidR="00FA244E">
        <w:rPr>
          <w:rFonts w:ascii="Arial" w:hAnsi="Arial" w:cs="Arial"/>
          <w:sz w:val="22"/>
          <w:szCs w:val="22"/>
        </w:rPr>
        <w:t>i</w:t>
      </w:r>
      <w:r w:rsidR="00F53B40">
        <w:rPr>
          <w:rFonts w:ascii="Arial" w:hAnsi="Arial" w:cs="Arial"/>
          <w:sz w:val="22"/>
          <w:szCs w:val="22"/>
        </w:rPr>
        <w:t>.</w:t>
      </w:r>
      <w:r w:rsidR="008072E3">
        <w:rPr>
          <w:rFonts w:ascii="Arial" w:hAnsi="Arial" w:cs="Arial"/>
          <w:sz w:val="22"/>
          <w:szCs w:val="22"/>
        </w:rPr>
        <w:t xml:space="preserve">  </w:t>
      </w:r>
      <w:r w:rsidRPr="00CF3E8F">
        <w:rPr>
          <w:rFonts w:ascii="Arial" w:hAnsi="Arial" w:cs="Arial"/>
          <w:sz w:val="22"/>
          <w:szCs w:val="22"/>
        </w:rPr>
        <w:t xml:space="preserve">The Watershed lies </w:t>
      </w:r>
      <w:r>
        <w:rPr>
          <w:rFonts w:ascii="Arial" w:hAnsi="Arial" w:cs="Arial"/>
          <w:sz w:val="22"/>
          <w:szCs w:val="22"/>
        </w:rPr>
        <w:t xml:space="preserve">both in </w:t>
      </w:r>
      <w:r w:rsidRPr="00CF3E8F">
        <w:rPr>
          <w:rFonts w:ascii="Arial" w:hAnsi="Arial" w:cs="Arial"/>
          <w:sz w:val="22"/>
          <w:szCs w:val="22"/>
        </w:rPr>
        <w:t>Washtenaw County</w:t>
      </w:r>
      <w:r>
        <w:rPr>
          <w:rFonts w:ascii="Arial" w:hAnsi="Arial" w:cs="Arial"/>
          <w:sz w:val="22"/>
          <w:szCs w:val="22"/>
        </w:rPr>
        <w:t xml:space="preserve"> (66% of the Watershed) and Wayne County (34%). </w:t>
      </w:r>
    </w:p>
    <w:p w14:paraId="7C40220B" w14:textId="122F6CA8" w:rsidR="006E5D33" w:rsidRPr="00541F1D" w:rsidRDefault="006E5D33" w:rsidP="006E5D33">
      <w:pPr>
        <w:pStyle w:val="NormalWeb"/>
        <w:spacing w:before="0" w:beforeAutospacing="0" w:after="0" w:afterAutospacing="0"/>
        <w:rPr>
          <w:rFonts w:ascii="Arial" w:hAnsi="Arial" w:cs="Arial"/>
          <w:sz w:val="22"/>
          <w:szCs w:val="22"/>
        </w:rPr>
      </w:pPr>
      <w:r w:rsidRPr="00541F1D">
        <w:rPr>
          <w:rFonts w:ascii="Arial" w:hAnsi="Arial" w:cs="Arial"/>
          <w:sz w:val="22"/>
          <w:szCs w:val="22"/>
        </w:rPr>
        <w:t>See Table 1.1 for the full breakdown.</w:t>
      </w:r>
    </w:p>
    <w:p w14:paraId="4366EE97" w14:textId="77777777" w:rsidR="006E5D33" w:rsidRPr="00C96761" w:rsidRDefault="006E5D33" w:rsidP="006E5D33">
      <w:pPr>
        <w:pStyle w:val="NormalWeb"/>
        <w:spacing w:before="0" w:beforeAutospacing="0" w:after="0" w:afterAutospacing="0"/>
        <w:rPr>
          <w:rFonts w:ascii="Arial" w:hAnsi="Arial" w:cs="Arial"/>
          <w:color w:val="FF0000"/>
          <w:sz w:val="22"/>
          <w:szCs w:val="22"/>
        </w:rPr>
      </w:pPr>
    </w:p>
    <w:p w14:paraId="265374F3" w14:textId="77777777" w:rsidR="006E5D33" w:rsidRDefault="006E5D33" w:rsidP="006E5D33">
      <w:pPr>
        <w:pStyle w:val="NormalWeb"/>
        <w:spacing w:before="0" w:beforeAutospacing="0" w:after="0" w:afterAutospacing="0"/>
        <w:rPr>
          <w:rFonts w:ascii="Arial" w:hAnsi="Arial" w:cs="Arial"/>
          <w:sz w:val="22"/>
          <w:szCs w:val="22"/>
        </w:rPr>
      </w:pPr>
      <w:r w:rsidRPr="00217FDB">
        <w:rPr>
          <w:rFonts w:ascii="Arial" w:hAnsi="Arial" w:cs="Arial"/>
          <w:sz w:val="22"/>
          <w:szCs w:val="22"/>
        </w:rPr>
        <w:t xml:space="preserve">Political </w:t>
      </w:r>
      <w:proofErr w:type="gramStart"/>
      <w:r w:rsidRPr="00217FDB">
        <w:rPr>
          <w:rFonts w:ascii="Arial" w:hAnsi="Arial" w:cs="Arial"/>
          <w:sz w:val="22"/>
          <w:szCs w:val="22"/>
        </w:rPr>
        <w:t>jurisdictions</w:t>
      </w:r>
      <w:proofErr w:type="gramEnd"/>
      <w:r w:rsidRPr="00217FDB">
        <w:rPr>
          <w:rFonts w:ascii="Arial" w:hAnsi="Arial" w:cs="Arial"/>
          <w:sz w:val="22"/>
          <w:szCs w:val="22"/>
        </w:rPr>
        <w:t xml:space="preserve"> regarding the Huron River and its tributaries, riparian zones, and land are controlled by federal and state laws, county and local ordinances, and town by-laws. Regulatory and enforcement responsibility for water quantity and quality regulation often lies with the </w:t>
      </w:r>
      <w:r>
        <w:rPr>
          <w:rFonts w:ascii="Arial" w:hAnsi="Arial" w:cs="Arial"/>
          <w:sz w:val="22"/>
          <w:szCs w:val="22"/>
        </w:rPr>
        <w:t>EPA and EGLE</w:t>
      </w:r>
      <w:r w:rsidRPr="00217FDB">
        <w:rPr>
          <w:rFonts w:ascii="Arial" w:hAnsi="Arial" w:cs="Arial"/>
          <w:sz w:val="22"/>
          <w:szCs w:val="22"/>
        </w:rPr>
        <w:t xml:space="preserve">. Major activities regulated by the state, through </w:t>
      </w:r>
      <w:r>
        <w:rPr>
          <w:rFonts w:ascii="Arial" w:hAnsi="Arial" w:cs="Arial"/>
          <w:sz w:val="22"/>
          <w:szCs w:val="22"/>
        </w:rPr>
        <w:t>EGLE</w:t>
      </w:r>
      <w:r w:rsidRPr="00217FDB">
        <w:rPr>
          <w:rFonts w:ascii="Arial" w:hAnsi="Arial" w:cs="Arial"/>
          <w:sz w:val="22"/>
          <w:szCs w:val="22"/>
        </w:rPr>
        <w:t xml:space="preserve">, are the alteration/loss of wetlands, pollutant discharges (NPDES permits), control of stormwater, and dredging/filling of surface waters.  </w:t>
      </w:r>
    </w:p>
    <w:p w14:paraId="6ABA499E" w14:textId="77777777" w:rsidR="006E5D33" w:rsidRDefault="006E5D33" w:rsidP="006E5D33">
      <w:pPr>
        <w:pStyle w:val="NormalWeb"/>
        <w:spacing w:before="0" w:beforeAutospacing="0" w:after="0" w:afterAutospacing="0"/>
        <w:rPr>
          <w:rFonts w:ascii="Arial" w:hAnsi="Arial" w:cs="Arial"/>
          <w:sz w:val="22"/>
          <w:szCs w:val="22"/>
        </w:rPr>
      </w:pPr>
    </w:p>
    <w:p w14:paraId="07A72D36" w14:textId="77777777" w:rsidR="006E5D33" w:rsidRPr="00217FDB" w:rsidRDefault="006E5D33" w:rsidP="006E5D33">
      <w:pPr>
        <w:pStyle w:val="NormalWeb"/>
        <w:spacing w:before="0" w:beforeAutospacing="0" w:after="0" w:afterAutospacing="0"/>
        <w:rPr>
          <w:rFonts w:ascii="Arial" w:hAnsi="Arial" w:cs="Arial"/>
          <w:sz w:val="22"/>
          <w:szCs w:val="22"/>
        </w:rPr>
      </w:pPr>
      <w:r w:rsidRPr="00217FDB">
        <w:rPr>
          <w:rFonts w:ascii="Arial" w:hAnsi="Arial" w:cs="Arial"/>
          <w:sz w:val="22"/>
          <w:szCs w:val="22"/>
        </w:rPr>
        <w:t xml:space="preserve">The State of Michigan </w:t>
      </w:r>
      <w:r>
        <w:rPr>
          <w:rFonts w:ascii="Arial" w:hAnsi="Arial" w:cs="Arial"/>
          <w:sz w:val="22"/>
          <w:szCs w:val="22"/>
        </w:rPr>
        <w:t xml:space="preserve">maintains </w:t>
      </w:r>
      <w:r w:rsidRPr="00217FDB">
        <w:rPr>
          <w:rFonts w:ascii="Arial" w:hAnsi="Arial" w:cs="Arial"/>
          <w:sz w:val="22"/>
          <w:szCs w:val="22"/>
        </w:rPr>
        <w:t xml:space="preserve">that: </w:t>
      </w:r>
    </w:p>
    <w:p w14:paraId="337E18EE" w14:textId="77777777" w:rsidR="006E5D33" w:rsidRPr="00217FDB" w:rsidRDefault="006E5D33" w:rsidP="006E5D33">
      <w:pPr>
        <w:pStyle w:val="BodyText2"/>
        <w:spacing w:line="240" w:lineRule="auto"/>
        <w:ind w:left="720"/>
        <w:rPr>
          <w:rFonts w:ascii="Arial" w:hAnsi="Arial" w:cs="Arial"/>
          <w:sz w:val="22"/>
          <w:szCs w:val="22"/>
        </w:rPr>
      </w:pPr>
      <w:r w:rsidRPr="00217FDB">
        <w:rPr>
          <w:rFonts w:ascii="Arial" w:hAnsi="Arial" w:cs="Arial"/>
          <w:sz w:val="22"/>
          <w:szCs w:val="22"/>
        </w:rPr>
        <w:t xml:space="preserve">“’Surface waters of the state’ means all of the following, but does not include drainage </w:t>
      </w:r>
      <w:proofErr w:type="gramStart"/>
      <w:r w:rsidRPr="00217FDB">
        <w:rPr>
          <w:rFonts w:ascii="Arial" w:hAnsi="Arial" w:cs="Arial"/>
          <w:sz w:val="22"/>
          <w:szCs w:val="22"/>
        </w:rPr>
        <w:t>ways  and</w:t>
      </w:r>
      <w:proofErr w:type="gramEnd"/>
      <w:r w:rsidRPr="00217FDB">
        <w:rPr>
          <w:rFonts w:ascii="Arial" w:hAnsi="Arial" w:cs="Arial"/>
          <w:sz w:val="22"/>
          <w:szCs w:val="22"/>
        </w:rPr>
        <w:t xml:space="preserve">  ponds  used  solely  for  wastewater conveyance, treatment, or control:</w:t>
      </w:r>
    </w:p>
    <w:p w14:paraId="078F31AA" w14:textId="77777777" w:rsidR="006E5D33" w:rsidRPr="00217FDB" w:rsidRDefault="006E5D33" w:rsidP="006E5D33">
      <w:pPr>
        <w:pStyle w:val="BodyText2"/>
        <w:spacing w:line="240" w:lineRule="auto"/>
        <w:ind w:left="720"/>
        <w:rPr>
          <w:rFonts w:ascii="Arial" w:hAnsi="Arial" w:cs="Arial"/>
          <w:sz w:val="22"/>
          <w:szCs w:val="22"/>
        </w:rPr>
      </w:pPr>
      <w:r w:rsidRPr="00217FDB">
        <w:rPr>
          <w:rFonts w:ascii="Arial" w:hAnsi="Arial" w:cs="Arial"/>
          <w:sz w:val="22"/>
          <w:szCs w:val="22"/>
        </w:rPr>
        <w:t xml:space="preserve">  (</w:t>
      </w:r>
      <w:proofErr w:type="spellStart"/>
      <w:r w:rsidRPr="00217FDB">
        <w:rPr>
          <w:rFonts w:ascii="Arial" w:hAnsi="Arial" w:cs="Arial"/>
          <w:sz w:val="22"/>
          <w:szCs w:val="22"/>
        </w:rPr>
        <w:t>i</w:t>
      </w:r>
      <w:proofErr w:type="spellEnd"/>
      <w:r w:rsidRPr="00217FDB">
        <w:rPr>
          <w:rFonts w:ascii="Arial" w:hAnsi="Arial" w:cs="Arial"/>
          <w:sz w:val="22"/>
          <w:szCs w:val="22"/>
        </w:rPr>
        <w:t>)  The Great Lakes and their connecting waters.</w:t>
      </w:r>
    </w:p>
    <w:p w14:paraId="1B70FA03" w14:textId="77777777" w:rsidR="006E5D33" w:rsidRPr="00217FDB" w:rsidRDefault="006E5D33" w:rsidP="006E5D33">
      <w:pPr>
        <w:pStyle w:val="BodyText2"/>
        <w:spacing w:line="240" w:lineRule="auto"/>
        <w:ind w:left="720"/>
        <w:rPr>
          <w:rFonts w:ascii="Arial" w:hAnsi="Arial" w:cs="Arial"/>
          <w:sz w:val="22"/>
          <w:szCs w:val="22"/>
        </w:rPr>
      </w:pPr>
      <w:r w:rsidRPr="00217FDB">
        <w:rPr>
          <w:rFonts w:ascii="Arial" w:hAnsi="Arial" w:cs="Arial"/>
          <w:sz w:val="22"/>
          <w:szCs w:val="22"/>
        </w:rPr>
        <w:t xml:space="preserve">  (ii)  All inland lakes.</w:t>
      </w:r>
    </w:p>
    <w:p w14:paraId="583401DB" w14:textId="77777777" w:rsidR="006E5D33" w:rsidRPr="00217FDB" w:rsidRDefault="006E5D33" w:rsidP="006E5D33">
      <w:pPr>
        <w:pStyle w:val="BodyText2"/>
        <w:spacing w:line="240" w:lineRule="auto"/>
        <w:ind w:left="720"/>
        <w:rPr>
          <w:rFonts w:ascii="Arial" w:hAnsi="Arial" w:cs="Arial"/>
          <w:sz w:val="22"/>
          <w:szCs w:val="22"/>
        </w:rPr>
      </w:pPr>
      <w:r w:rsidRPr="00217FDB">
        <w:rPr>
          <w:rFonts w:ascii="Arial" w:hAnsi="Arial" w:cs="Arial"/>
          <w:sz w:val="22"/>
          <w:szCs w:val="22"/>
        </w:rPr>
        <w:t xml:space="preserve">  (iii)  Rivers.</w:t>
      </w:r>
    </w:p>
    <w:p w14:paraId="5E38144F" w14:textId="77777777" w:rsidR="006E5D33" w:rsidRPr="00217FDB" w:rsidRDefault="006E5D33" w:rsidP="006E5D33">
      <w:pPr>
        <w:pStyle w:val="BodyText2"/>
        <w:spacing w:line="240" w:lineRule="auto"/>
        <w:ind w:left="720"/>
        <w:rPr>
          <w:rFonts w:ascii="Arial" w:hAnsi="Arial" w:cs="Arial"/>
          <w:sz w:val="22"/>
          <w:szCs w:val="22"/>
        </w:rPr>
      </w:pPr>
      <w:r w:rsidRPr="00217FDB">
        <w:rPr>
          <w:rFonts w:ascii="Arial" w:hAnsi="Arial" w:cs="Arial"/>
          <w:sz w:val="22"/>
          <w:szCs w:val="22"/>
        </w:rPr>
        <w:t xml:space="preserve">  (iv)  Streams.</w:t>
      </w:r>
    </w:p>
    <w:p w14:paraId="28700E2A" w14:textId="77777777" w:rsidR="006E5D33" w:rsidRPr="00217FDB" w:rsidRDefault="006E5D33" w:rsidP="006E5D33">
      <w:pPr>
        <w:pStyle w:val="BodyText2"/>
        <w:spacing w:line="240" w:lineRule="auto"/>
        <w:ind w:left="720"/>
        <w:rPr>
          <w:rFonts w:ascii="Arial" w:hAnsi="Arial" w:cs="Arial"/>
          <w:sz w:val="22"/>
          <w:szCs w:val="22"/>
        </w:rPr>
      </w:pPr>
      <w:r w:rsidRPr="00217FDB">
        <w:rPr>
          <w:rFonts w:ascii="Arial" w:hAnsi="Arial" w:cs="Arial"/>
          <w:sz w:val="22"/>
          <w:szCs w:val="22"/>
        </w:rPr>
        <w:t xml:space="preserve">  (v)  Impoundments.</w:t>
      </w:r>
    </w:p>
    <w:p w14:paraId="6DDC3793" w14:textId="77777777" w:rsidR="006E5D33" w:rsidRPr="00217FDB" w:rsidRDefault="006E5D33" w:rsidP="006E5D33">
      <w:pPr>
        <w:pStyle w:val="BodyText2"/>
        <w:spacing w:line="240" w:lineRule="auto"/>
        <w:ind w:left="720"/>
        <w:rPr>
          <w:rFonts w:ascii="Arial" w:hAnsi="Arial" w:cs="Arial"/>
          <w:sz w:val="22"/>
          <w:szCs w:val="22"/>
        </w:rPr>
      </w:pPr>
      <w:r w:rsidRPr="00217FDB">
        <w:rPr>
          <w:rFonts w:ascii="Arial" w:hAnsi="Arial" w:cs="Arial"/>
          <w:sz w:val="22"/>
          <w:szCs w:val="22"/>
        </w:rPr>
        <w:t xml:space="preserve">  (vi)  Open drains.</w:t>
      </w:r>
    </w:p>
    <w:p w14:paraId="344CE5D5" w14:textId="77777777" w:rsidR="006E5D33" w:rsidRPr="00217FDB" w:rsidRDefault="006E5D33" w:rsidP="006E5D33">
      <w:pPr>
        <w:pStyle w:val="BodyText2"/>
        <w:spacing w:line="240" w:lineRule="auto"/>
        <w:ind w:left="720"/>
        <w:rPr>
          <w:rFonts w:ascii="Arial" w:hAnsi="Arial" w:cs="Arial"/>
          <w:sz w:val="22"/>
          <w:szCs w:val="22"/>
        </w:rPr>
      </w:pPr>
      <w:r w:rsidRPr="00217FDB">
        <w:rPr>
          <w:rFonts w:ascii="Arial" w:hAnsi="Arial" w:cs="Arial"/>
          <w:sz w:val="22"/>
          <w:szCs w:val="22"/>
        </w:rPr>
        <w:t xml:space="preserve">  (vii)  Wetlands.</w:t>
      </w:r>
    </w:p>
    <w:p w14:paraId="0519F7B8" w14:textId="5AA4A26B" w:rsidR="008B4D33" w:rsidRPr="00217FDB" w:rsidRDefault="006E5D33" w:rsidP="006E5D33">
      <w:pPr>
        <w:pStyle w:val="BodyText2"/>
        <w:spacing w:line="240" w:lineRule="auto"/>
        <w:ind w:left="720"/>
        <w:rPr>
          <w:rFonts w:ascii="Arial" w:hAnsi="Arial" w:cs="Arial"/>
          <w:sz w:val="22"/>
          <w:szCs w:val="22"/>
        </w:rPr>
      </w:pPr>
      <w:r w:rsidRPr="00217FDB">
        <w:rPr>
          <w:rFonts w:ascii="Arial" w:hAnsi="Arial" w:cs="Arial"/>
          <w:sz w:val="22"/>
          <w:szCs w:val="22"/>
        </w:rPr>
        <w:t xml:space="preserve">  (viii)  Other surface bodies of water within the confines of the state.”</w:t>
      </w:r>
      <w:r w:rsidR="008B4D33">
        <w:rPr>
          <w:rStyle w:val="EndnoteReference"/>
          <w:rFonts w:ascii="Arial" w:hAnsi="Arial" w:cs="Arial"/>
          <w:sz w:val="22"/>
          <w:szCs w:val="22"/>
        </w:rPr>
        <w:endnoteReference w:id="1"/>
      </w:r>
      <w:r w:rsidR="008B4D33" w:rsidRPr="00217FDB">
        <w:rPr>
          <w:rFonts w:ascii="Arial" w:hAnsi="Arial" w:cs="Arial"/>
          <w:sz w:val="22"/>
          <w:szCs w:val="22"/>
        </w:rPr>
        <w:t xml:space="preserve"> </w:t>
      </w:r>
    </w:p>
    <w:p w14:paraId="614340FA" w14:textId="7558D083" w:rsidR="008B4D33" w:rsidRPr="00C96761" w:rsidRDefault="008B4D33" w:rsidP="006E5D33">
      <w:pPr>
        <w:pStyle w:val="BodyText2"/>
        <w:spacing w:after="0" w:line="240" w:lineRule="auto"/>
        <w:rPr>
          <w:rFonts w:ascii="Arial" w:hAnsi="Arial" w:cs="Arial"/>
          <w:b/>
          <w:bCs/>
          <w:color w:val="FF0000"/>
          <w:sz w:val="22"/>
          <w:szCs w:val="22"/>
        </w:rPr>
      </w:pPr>
      <w:r w:rsidRPr="00C96761">
        <w:rPr>
          <w:rFonts w:ascii="Arial" w:hAnsi="Arial" w:cs="Arial"/>
          <w:color w:val="FF0000"/>
          <w:sz w:val="22"/>
          <w:szCs w:val="22"/>
        </w:rPr>
        <w:br/>
      </w:r>
      <w:r w:rsidRPr="00CC4420">
        <w:rPr>
          <w:rFonts w:ascii="Arial" w:hAnsi="Arial" w:cs="Arial"/>
          <w:sz w:val="22"/>
          <w:szCs w:val="22"/>
        </w:rPr>
        <w:t>County government assumes responsibility for carrying out certain state policies. In most cases, county governments enforce the state erosion control policy, under the Michigan Soil Erosion and Sedimentation Control Act 347 of 1972 and Part 91 of Act 504 of 2000.</w:t>
      </w:r>
      <w:r>
        <w:rPr>
          <w:rFonts w:ascii="Arial" w:hAnsi="Arial" w:cs="Arial"/>
          <w:sz w:val="22"/>
          <w:szCs w:val="22"/>
        </w:rPr>
        <w:t xml:space="preserve"> </w:t>
      </w:r>
      <w:r w:rsidRPr="00CC4420">
        <w:rPr>
          <w:rFonts w:ascii="Arial" w:hAnsi="Arial" w:cs="Arial"/>
          <w:sz w:val="22"/>
          <w:szCs w:val="22"/>
        </w:rPr>
        <w:t xml:space="preserve">Some cities, villages, charter townships, and some general law townships have elected to enforce Part 91 through adoption of a soil erosion and sedimentation control ordinance. These agencies are called Municipal Enforcing Agencies (MEAs). MEAs will review soil erosion and sedimentation control plans, issue permits, and take enforcement actions when necessary to ensure compliance with Part 91 within their jurisdiction. In the Watershed </w:t>
      </w:r>
      <w:r>
        <w:rPr>
          <w:rFonts w:ascii="Arial" w:hAnsi="Arial" w:cs="Arial"/>
          <w:sz w:val="22"/>
          <w:szCs w:val="22"/>
        </w:rPr>
        <w:t>two of the local municipalities</w:t>
      </w:r>
      <w:r w:rsidRPr="00CC4420">
        <w:rPr>
          <w:rFonts w:ascii="Arial" w:hAnsi="Arial" w:cs="Arial"/>
          <w:sz w:val="22"/>
          <w:szCs w:val="22"/>
        </w:rPr>
        <w:t xml:space="preserve"> are MEAs</w:t>
      </w:r>
      <w:r w:rsidRPr="00CC4420">
        <w:rPr>
          <w:rStyle w:val="EndnoteReference"/>
          <w:rFonts w:ascii="Arial" w:hAnsi="Arial" w:cs="Arial"/>
          <w:sz w:val="22"/>
          <w:szCs w:val="22"/>
        </w:rPr>
        <w:endnoteReference w:id="2"/>
      </w:r>
      <w:r w:rsidRPr="00CC4420">
        <w:rPr>
          <w:rFonts w:ascii="Arial" w:hAnsi="Arial" w:cs="Arial"/>
          <w:sz w:val="22"/>
          <w:szCs w:val="22"/>
        </w:rPr>
        <w:t xml:space="preserve">: </w:t>
      </w:r>
      <w:r>
        <w:rPr>
          <w:rFonts w:ascii="Arial" w:hAnsi="Arial" w:cs="Arial"/>
          <w:sz w:val="22"/>
          <w:szCs w:val="22"/>
        </w:rPr>
        <w:t>City of Belleville, and Ypsilanti Township.</w:t>
      </w:r>
    </w:p>
    <w:p w14:paraId="6C2096CD" w14:textId="77777777" w:rsidR="008B4D33" w:rsidRPr="00C96761" w:rsidRDefault="008B4D33" w:rsidP="006E5D33">
      <w:pPr>
        <w:pStyle w:val="BodyText"/>
        <w:rPr>
          <w:rFonts w:ascii="Arial" w:hAnsi="Arial" w:cs="Arial"/>
          <w:color w:val="FF0000"/>
          <w:sz w:val="22"/>
          <w:szCs w:val="22"/>
        </w:rPr>
      </w:pPr>
    </w:p>
    <w:p w14:paraId="39462A76" w14:textId="0139C424" w:rsidR="008B4D33" w:rsidRPr="00E50A98" w:rsidRDefault="008B4D33" w:rsidP="006E5D33">
      <w:pPr>
        <w:pStyle w:val="NormalWeb"/>
        <w:spacing w:before="0" w:beforeAutospacing="0" w:after="0" w:afterAutospacing="0"/>
        <w:rPr>
          <w:rFonts w:ascii="Arial" w:hAnsi="Arial" w:cs="Arial"/>
          <w:sz w:val="22"/>
          <w:szCs w:val="22"/>
        </w:rPr>
      </w:pPr>
      <w:r w:rsidRPr="00E50A98">
        <w:rPr>
          <w:rFonts w:ascii="Arial" w:hAnsi="Arial" w:cs="Arial"/>
          <w:sz w:val="22"/>
          <w:szCs w:val="22"/>
        </w:rPr>
        <w:t xml:space="preserve">Designated county drains are maintained by the Washtenaw County Office of the Water Resources Commissioner and the Wayne County Drain Commissioner. Figure 2.8 indicates the stream channels that are designated county drains in the Watershed which may be open ditches, streams or underground pipes, retention ponds or swales that convey stormwater. </w:t>
      </w:r>
      <w:r w:rsidRPr="00E50A98">
        <w:rPr>
          <w:rFonts w:ascii="Arial" w:hAnsi="Arial" w:cs="Arial"/>
          <w:sz w:val="22"/>
          <w:szCs w:val="22"/>
        </w:rPr>
        <w:lastRenderedPageBreak/>
        <w:t>These systems are designed to provide storm water management, drainage, flood prevention, and stream protection for urban and agricultural lands. The Drain Code gives the Water Resource</w:t>
      </w:r>
      <w:r>
        <w:rPr>
          <w:rFonts w:ascii="Arial" w:hAnsi="Arial" w:cs="Arial"/>
          <w:sz w:val="22"/>
          <w:szCs w:val="22"/>
        </w:rPr>
        <w:t>/Drain</w:t>
      </w:r>
      <w:r w:rsidRPr="00E50A98">
        <w:rPr>
          <w:rFonts w:ascii="Arial" w:hAnsi="Arial" w:cs="Arial"/>
          <w:sz w:val="22"/>
          <w:szCs w:val="22"/>
        </w:rPr>
        <w:t xml:space="preserve"> Commissioner</w:t>
      </w:r>
      <w:r>
        <w:rPr>
          <w:rFonts w:ascii="Arial" w:hAnsi="Arial" w:cs="Arial"/>
          <w:sz w:val="22"/>
          <w:szCs w:val="22"/>
        </w:rPr>
        <w:t>s</w:t>
      </w:r>
      <w:r w:rsidRPr="00E50A98">
        <w:rPr>
          <w:rFonts w:ascii="Arial" w:hAnsi="Arial" w:cs="Arial"/>
          <w:sz w:val="22"/>
          <w:szCs w:val="22"/>
        </w:rPr>
        <w:t xml:space="preserve"> authority for construction or maintenance of designated county drains for flood control and water management.  </w:t>
      </w:r>
      <w:r>
        <w:rPr>
          <w:rFonts w:ascii="Arial" w:hAnsi="Arial" w:cs="Arial"/>
          <w:sz w:val="22"/>
          <w:szCs w:val="22"/>
        </w:rPr>
        <w:t xml:space="preserve">In Wayne County, nearly all of the open </w:t>
      </w:r>
      <w:proofErr w:type="gramStart"/>
      <w:r>
        <w:rPr>
          <w:rFonts w:ascii="Arial" w:hAnsi="Arial" w:cs="Arial"/>
          <w:sz w:val="22"/>
          <w:szCs w:val="22"/>
        </w:rPr>
        <w:t>streams</w:t>
      </w:r>
      <w:proofErr w:type="gramEnd"/>
      <w:r>
        <w:rPr>
          <w:rFonts w:ascii="Arial" w:hAnsi="Arial" w:cs="Arial"/>
          <w:sz w:val="22"/>
          <w:szCs w:val="22"/>
        </w:rPr>
        <w:t xml:space="preserve"> flow in the Watershed except for Belleville Lake are County Drains. In Washtenaw County, most of the open streams in the Watershed are not considered </w:t>
      </w:r>
      <w:proofErr w:type="gramStart"/>
      <w:r>
        <w:rPr>
          <w:rFonts w:ascii="Arial" w:hAnsi="Arial" w:cs="Arial"/>
          <w:sz w:val="22"/>
          <w:szCs w:val="22"/>
        </w:rPr>
        <w:t>a drain</w:t>
      </w:r>
      <w:proofErr w:type="gramEnd"/>
      <w:r>
        <w:rPr>
          <w:rFonts w:ascii="Arial" w:hAnsi="Arial" w:cs="Arial"/>
          <w:sz w:val="22"/>
          <w:szCs w:val="22"/>
        </w:rPr>
        <w:t xml:space="preserve"> and the drains instead are underground pipes (especially in Ypsilanti Township).</w:t>
      </w:r>
    </w:p>
    <w:p w14:paraId="53D7D199" w14:textId="77777777" w:rsidR="008B4D33" w:rsidRPr="00C96761" w:rsidRDefault="008B4D33" w:rsidP="006E5D33">
      <w:pPr>
        <w:pStyle w:val="BodyText"/>
        <w:jc w:val="left"/>
        <w:rPr>
          <w:rFonts w:ascii="Arial" w:hAnsi="Arial" w:cs="Arial"/>
          <w:color w:val="FF0000"/>
          <w:sz w:val="22"/>
          <w:szCs w:val="22"/>
        </w:rPr>
      </w:pPr>
    </w:p>
    <w:p w14:paraId="6E5BCE4A" w14:textId="696C9659" w:rsidR="008B4D33" w:rsidRPr="00B324B5" w:rsidRDefault="008B4D33" w:rsidP="00C62F62">
      <w:pPr>
        <w:pStyle w:val="NormalWeb"/>
        <w:spacing w:before="0" w:beforeAutospacing="0" w:after="0" w:afterAutospacing="0"/>
        <w:rPr>
          <w:rFonts w:ascii="Arial" w:hAnsi="Arial" w:cs="Arial"/>
          <w:sz w:val="22"/>
          <w:szCs w:val="22"/>
        </w:rPr>
      </w:pPr>
      <w:r w:rsidRPr="00B324B5">
        <w:rPr>
          <w:rFonts w:ascii="Arial" w:hAnsi="Arial" w:cs="Arial"/>
          <w:sz w:val="22"/>
          <w:szCs w:val="22"/>
        </w:rPr>
        <w:t xml:space="preserve">Drains including roadside ditches, pipes, bridges, and culverts under state highways and county roads that are not designated county drains are maintained by the County Road Commissions.  </w:t>
      </w:r>
    </w:p>
    <w:p w14:paraId="1D44EF6B" w14:textId="77777777" w:rsidR="008B4D33" w:rsidRPr="00C96761" w:rsidRDefault="008B4D33" w:rsidP="00C62F62">
      <w:pPr>
        <w:pStyle w:val="NormalWeb"/>
        <w:spacing w:before="0" w:beforeAutospacing="0" w:after="0" w:afterAutospacing="0"/>
        <w:rPr>
          <w:rFonts w:ascii="Arial" w:hAnsi="Arial" w:cs="Arial"/>
          <w:color w:val="FF0000"/>
          <w:sz w:val="22"/>
          <w:szCs w:val="22"/>
        </w:rPr>
      </w:pPr>
    </w:p>
    <w:p w14:paraId="70FD056A" w14:textId="75FBB975" w:rsidR="008B4D33" w:rsidRPr="00AE0DEA" w:rsidRDefault="008B4D33" w:rsidP="00C62F62">
      <w:pPr>
        <w:pStyle w:val="NormalWeb"/>
        <w:spacing w:before="0" w:beforeAutospacing="0" w:after="0" w:afterAutospacing="0"/>
        <w:rPr>
          <w:rFonts w:ascii="Arial" w:hAnsi="Arial" w:cs="Arial"/>
          <w:i/>
          <w:sz w:val="18"/>
          <w:szCs w:val="18"/>
        </w:rPr>
      </w:pPr>
      <w:r w:rsidRPr="00AE0DEA">
        <w:rPr>
          <w:rFonts w:ascii="Arial" w:hAnsi="Arial" w:cs="Arial"/>
          <w:i/>
          <w:sz w:val="18"/>
          <w:szCs w:val="18"/>
        </w:rPr>
        <w:t>Figure 2</w:t>
      </w:r>
      <w:r w:rsidRPr="00AE0DEA">
        <w:rPr>
          <w:rFonts w:ascii="Arial" w:hAnsi="Arial" w:cs="Arial"/>
          <w:i/>
          <w:iCs/>
          <w:sz w:val="18"/>
          <w:szCs w:val="18"/>
        </w:rPr>
        <w:t>.</w:t>
      </w:r>
      <w:r>
        <w:rPr>
          <w:rFonts w:ascii="Arial" w:hAnsi="Arial" w:cs="Arial"/>
          <w:i/>
          <w:iCs/>
          <w:sz w:val="18"/>
          <w:szCs w:val="18"/>
        </w:rPr>
        <w:t>8</w:t>
      </w:r>
      <w:r w:rsidRPr="00AE0DEA">
        <w:rPr>
          <w:rFonts w:ascii="Arial" w:hAnsi="Arial" w:cs="Arial"/>
          <w:i/>
          <w:sz w:val="18"/>
          <w:szCs w:val="18"/>
        </w:rPr>
        <w:t>. Designated County Drains within the Watershed area (Marked as green and thicker line</w:t>
      </w:r>
      <w:r>
        <w:rPr>
          <w:rFonts w:ascii="Arial" w:hAnsi="Arial" w:cs="Arial"/>
          <w:i/>
          <w:sz w:val="18"/>
          <w:szCs w:val="18"/>
        </w:rPr>
        <w:t>s)</w:t>
      </w:r>
      <w:r w:rsidRPr="00AE0DEA">
        <w:rPr>
          <w:rFonts w:ascii="Arial" w:hAnsi="Arial" w:cs="Arial"/>
          <w:i/>
          <w:sz w:val="18"/>
          <w:szCs w:val="18"/>
        </w:rPr>
        <w:t>.</w:t>
      </w:r>
      <w:r>
        <w:rPr>
          <w:rFonts w:ascii="Arial" w:hAnsi="Arial" w:cs="Arial"/>
          <w:i/>
          <w:sz w:val="22"/>
          <w:szCs w:val="22"/>
        </w:rPr>
        <w:t xml:space="preserve"> </w:t>
      </w:r>
    </w:p>
    <w:p w14:paraId="0CFC4532" w14:textId="77777777" w:rsidR="008B4D33" w:rsidRDefault="008B4D33" w:rsidP="006E5D33">
      <w:pPr>
        <w:pStyle w:val="NormalWeb"/>
        <w:spacing w:before="0" w:beforeAutospacing="0" w:after="0" w:afterAutospacing="0"/>
        <w:rPr>
          <w:rFonts w:ascii="Arial" w:hAnsi="Arial" w:cs="Arial"/>
          <w:sz w:val="22"/>
          <w:szCs w:val="22"/>
        </w:rPr>
      </w:pPr>
    </w:p>
    <w:p w14:paraId="5D8D9632" w14:textId="14D85A24" w:rsidR="008B4D33" w:rsidRDefault="008B4D33" w:rsidP="006E5D33">
      <w:pPr>
        <w:pStyle w:val="NormalWeb"/>
        <w:spacing w:before="0" w:beforeAutospacing="0" w:after="0" w:afterAutospacing="0"/>
        <w:rPr>
          <w:rFonts w:ascii="Arial" w:hAnsi="Arial" w:cs="Arial"/>
          <w:sz w:val="22"/>
          <w:szCs w:val="22"/>
        </w:rPr>
      </w:pPr>
      <w:r>
        <w:rPr>
          <w:rFonts w:ascii="Arial" w:hAnsi="Arial" w:cs="Arial"/>
          <w:noProof/>
          <w:sz w:val="22"/>
          <w:szCs w:val="22"/>
        </w:rPr>
        <w:drawing>
          <wp:inline distT="0" distB="0" distL="0" distR="0" wp14:anchorId="4B06C89B" wp14:editId="60D7FB1A">
            <wp:extent cx="5939790" cy="4667250"/>
            <wp:effectExtent l="0" t="0" r="3810" b="0"/>
            <wp:docPr id="1508820897" name="Picture 1" descr="A picture containing text, map, diagram, atla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820897" name="Picture 1" descr="A picture containing text, map, diagram, atlas&#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9790" cy="4667250"/>
                    </a:xfrm>
                    <a:prstGeom prst="rect">
                      <a:avLst/>
                    </a:prstGeom>
                    <a:noFill/>
                    <a:ln>
                      <a:noFill/>
                    </a:ln>
                  </pic:spPr>
                </pic:pic>
              </a:graphicData>
            </a:graphic>
          </wp:inline>
        </w:drawing>
      </w:r>
    </w:p>
    <w:p w14:paraId="1A35DCC7" w14:textId="77777777" w:rsidR="008B4D33" w:rsidRDefault="008B4D33" w:rsidP="006E5D33">
      <w:pPr>
        <w:pStyle w:val="NormalWeb"/>
        <w:spacing w:before="0" w:beforeAutospacing="0" w:after="0" w:afterAutospacing="0"/>
        <w:rPr>
          <w:rFonts w:ascii="Arial" w:hAnsi="Arial" w:cs="Arial"/>
          <w:sz w:val="22"/>
          <w:szCs w:val="22"/>
        </w:rPr>
      </w:pPr>
    </w:p>
    <w:p w14:paraId="48CAB94D" w14:textId="77777777" w:rsidR="008B4D33" w:rsidRDefault="008B4D33" w:rsidP="006E5D33">
      <w:pPr>
        <w:pStyle w:val="NormalWeb"/>
        <w:spacing w:before="0" w:beforeAutospacing="0" w:after="0" w:afterAutospacing="0"/>
        <w:rPr>
          <w:rFonts w:ascii="Arial" w:hAnsi="Arial" w:cs="Arial"/>
          <w:sz w:val="22"/>
          <w:szCs w:val="22"/>
        </w:rPr>
      </w:pPr>
    </w:p>
    <w:p w14:paraId="5234B822" w14:textId="77777777" w:rsidR="008B4D33" w:rsidRPr="00D02F9A" w:rsidRDefault="008B4D33" w:rsidP="006E5D33">
      <w:pPr>
        <w:pStyle w:val="NormalWeb"/>
        <w:spacing w:before="0" w:beforeAutospacing="0" w:after="0" w:afterAutospacing="0"/>
        <w:rPr>
          <w:rFonts w:ascii="Arial" w:hAnsi="Arial" w:cs="Arial"/>
          <w:sz w:val="22"/>
          <w:szCs w:val="22"/>
        </w:rPr>
      </w:pPr>
      <w:r w:rsidRPr="00D02F9A">
        <w:rPr>
          <w:rFonts w:ascii="Arial" w:hAnsi="Arial" w:cs="Arial"/>
          <w:sz w:val="22"/>
          <w:szCs w:val="22"/>
        </w:rPr>
        <w:t xml:space="preserve">Each local government in the watershed has a zoning code and holds regularly scheduled meetings where rulings are made on policy additions and changes, budgets, land use issues, and other important local business.  Working with the guidance of statewide procedures, townships and other local governments have power to formulate land use and development policy, among other important activities.  </w:t>
      </w:r>
    </w:p>
    <w:p w14:paraId="5AD29F2F" w14:textId="77777777" w:rsidR="008B4D33" w:rsidRPr="00D02F9A" w:rsidRDefault="008B4D33" w:rsidP="006E5D33">
      <w:pPr>
        <w:pStyle w:val="NormalWeb"/>
        <w:spacing w:before="0" w:beforeAutospacing="0" w:after="0" w:afterAutospacing="0"/>
        <w:rPr>
          <w:rFonts w:ascii="Arial" w:hAnsi="Arial" w:cs="Arial"/>
          <w:sz w:val="22"/>
          <w:szCs w:val="22"/>
        </w:rPr>
      </w:pPr>
    </w:p>
    <w:p w14:paraId="23598DEC" w14:textId="4B88D14F" w:rsidR="008B4D33" w:rsidRPr="00D02F9A" w:rsidRDefault="008B4D33" w:rsidP="006E5D33">
      <w:pPr>
        <w:pStyle w:val="NormalWeb"/>
        <w:spacing w:before="0" w:beforeAutospacing="0" w:after="0" w:afterAutospacing="0"/>
        <w:rPr>
          <w:rFonts w:ascii="Arial" w:hAnsi="Arial" w:cs="Arial"/>
          <w:sz w:val="22"/>
          <w:szCs w:val="22"/>
        </w:rPr>
      </w:pPr>
      <w:r w:rsidRPr="00D02F9A">
        <w:rPr>
          <w:rFonts w:ascii="Arial" w:hAnsi="Arial" w:cs="Arial"/>
          <w:sz w:val="22"/>
          <w:szCs w:val="22"/>
        </w:rPr>
        <w:lastRenderedPageBreak/>
        <w:t xml:space="preserve">While state and county governments take an active role in many relevant watershed or water quality regulations and policies, local governments assume much leadership in land and water management by passing and enforcing safeguards.  These local ordinances can be more protective than state laws, though state regulations set minimum protections that cannot be violated.  Working under numerous established procedures, local governments may enact ordinances to control stormwater runoff and soil erosion and sedimentation; protect sensitive habitats such as woodlands, </w:t>
      </w:r>
      <w:proofErr w:type="gramStart"/>
      <w:r w:rsidRPr="00D02F9A">
        <w:rPr>
          <w:rFonts w:ascii="Arial" w:hAnsi="Arial" w:cs="Arial"/>
          <w:sz w:val="22"/>
          <w:szCs w:val="22"/>
        </w:rPr>
        <w:t>wetlands</w:t>
      </w:r>
      <w:proofErr w:type="gramEnd"/>
      <w:r w:rsidRPr="00D02F9A">
        <w:rPr>
          <w:rFonts w:ascii="Arial" w:hAnsi="Arial" w:cs="Arial"/>
          <w:sz w:val="22"/>
          <w:szCs w:val="22"/>
        </w:rPr>
        <w:t xml:space="preserve"> and riparian zones; and establish watershed-friendly development standards and lawn care and landscaping practices, among other options.  Local governments oversee enforcement of their policies.</w:t>
      </w:r>
    </w:p>
    <w:p w14:paraId="3DA66197" w14:textId="77777777" w:rsidR="008B4D33" w:rsidRDefault="008B4D33" w:rsidP="006E5D33">
      <w:pPr>
        <w:pStyle w:val="NormalWeb"/>
        <w:keepLines/>
        <w:spacing w:before="0" w:beforeAutospacing="0" w:after="120" w:afterAutospacing="0"/>
        <w:rPr>
          <w:rFonts w:ascii="Arial" w:hAnsi="Arial" w:cs="Arial"/>
          <w:sz w:val="32"/>
          <w:szCs w:val="32"/>
        </w:rPr>
      </w:pPr>
    </w:p>
    <w:p w14:paraId="32FAA2F1" w14:textId="77777777" w:rsidR="008B4D33" w:rsidRPr="00C40AE3" w:rsidRDefault="008B4D33" w:rsidP="00BF4377">
      <w:pPr>
        <w:pStyle w:val="WMP-header3"/>
        <w:outlineLvl w:val="2"/>
      </w:pPr>
      <w:bookmarkStart w:id="4" w:name="_Toc105070930"/>
      <w:bookmarkStart w:id="5" w:name="_Toc111629318"/>
      <w:r w:rsidRPr="00C40AE3">
        <w:t>2.2.2</w:t>
      </w:r>
      <w:r>
        <w:t xml:space="preserve">. </w:t>
      </w:r>
      <w:r w:rsidRPr="00C40AE3">
        <w:t>Growth Trends</w:t>
      </w:r>
      <w:bookmarkEnd w:id="4"/>
      <w:bookmarkEnd w:id="5"/>
      <w:r w:rsidRPr="00C40AE3">
        <w:t xml:space="preserve"> </w:t>
      </w:r>
    </w:p>
    <w:p w14:paraId="2632B09F" w14:textId="77777777" w:rsidR="008B4D33" w:rsidRDefault="008B4D33" w:rsidP="006E5D33">
      <w:pPr>
        <w:pStyle w:val="NormalWeb"/>
        <w:keepLines/>
        <w:spacing w:before="0" w:beforeAutospacing="0" w:after="0" w:afterAutospacing="0"/>
        <w:rPr>
          <w:rFonts w:ascii="Arial" w:hAnsi="Arial" w:cs="Arial"/>
          <w:sz w:val="22"/>
          <w:szCs w:val="22"/>
        </w:rPr>
      </w:pPr>
    </w:p>
    <w:p w14:paraId="5449BD29" w14:textId="5E70BDEA" w:rsidR="008B4D33" w:rsidRPr="00F70B93" w:rsidRDefault="008B4D33" w:rsidP="006E5D33">
      <w:pPr>
        <w:pStyle w:val="NormalWeb"/>
        <w:keepLines/>
        <w:spacing w:before="0" w:beforeAutospacing="0" w:after="0" w:afterAutospacing="0"/>
        <w:rPr>
          <w:rFonts w:ascii="Arial" w:hAnsi="Arial" w:cs="Arial"/>
          <w:sz w:val="22"/>
          <w:szCs w:val="22"/>
        </w:rPr>
      </w:pPr>
      <w:r w:rsidRPr="3E56771A">
        <w:rPr>
          <w:rFonts w:ascii="Arial" w:hAnsi="Arial" w:cs="Arial"/>
          <w:sz w:val="22"/>
          <w:szCs w:val="22"/>
        </w:rPr>
        <w:t>Prior to European settlement, the region around the watershed was home to Chippewa and Potawatomi Native American tribes who had long used the land for farming, hunting, and gathering. Despite an unfavorable report by the U.S. Surveyor-General in 1815 that characterized the soils in the area as being unsuitable for farming, European settlers soon began to recognize the area’s agricultural potential, which subsequently became an important area for livestock and grain in the 19</w:t>
      </w:r>
      <w:r w:rsidRPr="3E56771A">
        <w:rPr>
          <w:rFonts w:ascii="Arial" w:hAnsi="Arial" w:cs="Arial"/>
          <w:sz w:val="22"/>
          <w:szCs w:val="22"/>
          <w:vertAlign w:val="superscript"/>
        </w:rPr>
        <w:t>th</w:t>
      </w:r>
      <w:r w:rsidRPr="3E56771A">
        <w:rPr>
          <w:rFonts w:ascii="Arial" w:hAnsi="Arial" w:cs="Arial"/>
          <w:sz w:val="22"/>
          <w:szCs w:val="22"/>
        </w:rPr>
        <w:t xml:space="preserve"> century. The settlers moved in, forcibly displacing the original </w:t>
      </w:r>
      <w:proofErr w:type="gramStart"/>
      <w:r w:rsidRPr="3E56771A">
        <w:rPr>
          <w:rFonts w:ascii="Arial" w:hAnsi="Arial" w:cs="Arial"/>
          <w:sz w:val="22"/>
          <w:szCs w:val="22"/>
        </w:rPr>
        <w:t>inhabitants</w:t>
      </w:r>
      <w:proofErr w:type="gramEnd"/>
      <w:r w:rsidRPr="3E56771A">
        <w:rPr>
          <w:rFonts w:ascii="Arial" w:hAnsi="Arial" w:cs="Arial"/>
          <w:sz w:val="22"/>
          <w:szCs w:val="22"/>
        </w:rPr>
        <w:t xml:space="preserve"> and massively altering the ecological landscape. This agricultural trend thrived until, in the wake of World War II, growth in southeast Michigan was catalyzed by the baby boom, increased automobile ownership, and establishment of better road systems.  As a result, the influence of agriculture began to diminish as land was transferred to </w:t>
      </w:r>
      <w:r>
        <w:rPr>
          <w:rFonts w:ascii="Arial" w:hAnsi="Arial" w:cs="Arial"/>
          <w:sz w:val="22"/>
          <w:szCs w:val="22"/>
        </w:rPr>
        <w:t xml:space="preserve">urban and </w:t>
      </w:r>
      <w:r w:rsidRPr="3E56771A">
        <w:rPr>
          <w:rFonts w:ascii="Arial" w:hAnsi="Arial" w:cs="Arial"/>
          <w:sz w:val="22"/>
          <w:szCs w:val="22"/>
        </w:rPr>
        <w:t xml:space="preserve">suburban uses in a trend that continues today. </w:t>
      </w:r>
    </w:p>
    <w:p w14:paraId="37779225" w14:textId="77777777" w:rsidR="008B4D33" w:rsidRDefault="008B4D33" w:rsidP="00706E6B">
      <w:pPr>
        <w:pStyle w:val="NormalWeb"/>
        <w:keepLines/>
        <w:spacing w:before="0" w:beforeAutospacing="0" w:after="0" w:afterAutospacing="0"/>
        <w:rPr>
          <w:rFonts w:ascii="Arial" w:hAnsi="Arial" w:cs="Arial"/>
          <w:sz w:val="22"/>
          <w:szCs w:val="22"/>
        </w:rPr>
      </w:pPr>
      <w:r w:rsidRPr="3E56771A">
        <w:rPr>
          <w:rFonts w:ascii="Arial" w:hAnsi="Arial" w:cs="Arial"/>
          <w:sz w:val="22"/>
          <w:szCs w:val="22"/>
        </w:rPr>
        <w:t xml:space="preserve"> </w:t>
      </w:r>
    </w:p>
    <w:p w14:paraId="0C2EBBF2" w14:textId="0A0287B3" w:rsidR="008B4D33" w:rsidRDefault="008B4D33" w:rsidP="00706E6B">
      <w:pPr>
        <w:pStyle w:val="NormalWeb"/>
        <w:keepLines/>
        <w:spacing w:before="0" w:beforeAutospacing="0" w:after="0" w:afterAutospacing="0"/>
        <w:rPr>
          <w:rFonts w:ascii="Arial" w:hAnsi="Arial" w:cs="Arial"/>
          <w:sz w:val="22"/>
          <w:szCs w:val="22"/>
        </w:rPr>
      </w:pPr>
      <w:r w:rsidRPr="00706E6B">
        <w:rPr>
          <w:rFonts w:ascii="Arial" w:hAnsi="Arial" w:cs="Arial"/>
          <w:sz w:val="22"/>
          <w:szCs w:val="22"/>
        </w:rPr>
        <w:t>Federal decennial census data shows the historical rate of growth in the Watershed area, and then a SEMCOG model predicts future growth (Table 2.4).</w:t>
      </w:r>
      <w:r w:rsidRPr="00706E6B">
        <w:rPr>
          <w:rStyle w:val="EndnoteReference"/>
          <w:rFonts w:ascii="Arial" w:hAnsi="Arial" w:cs="Arial"/>
          <w:sz w:val="22"/>
          <w:szCs w:val="22"/>
        </w:rPr>
        <w:endnoteReference w:id="3"/>
      </w:r>
      <w:r w:rsidRPr="00706E6B">
        <w:rPr>
          <w:rFonts w:ascii="Arial" w:hAnsi="Arial" w:cs="Arial"/>
          <w:sz w:val="22"/>
          <w:szCs w:val="22"/>
          <w:vertAlign w:val="superscript"/>
        </w:rPr>
        <w:t>,</w:t>
      </w:r>
      <w:r w:rsidRPr="00706E6B">
        <w:rPr>
          <w:rStyle w:val="EndnoteReference"/>
          <w:rFonts w:ascii="Arial" w:hAnsi="Arial" w:cs="Arial"/>
          <w:sz w:val="22"/>
          <w:szCs w:val="22"/>
        </w:rPr>
        <w:endnoteReference w:id="4"/>
      </w:r>
      <w:r w:rsidRPr="00706E6B">
        <w:rPr>
          <w:rFonts w:ascii="Arial" w:hAnsi="Arial" w:cs="Arial"/>
          <w:sz w:val="22"/>
          <w:szCs w:val="22"/>
        </w:rPr>
        <w:t xml:space="preserve"> From 1990 through 2020, the core communities’ population</w:t>
      </w:r>
      <w:r>
        <w:rPr>
          <w:rFonts w:ascii="Arial" w:hAnsi="Arial" w:cs="Arial"/>
          <w:sz w:val="22"/>
          <w:szCs w:val="22"/>
        </w:rPr>
        <w:t xml:space="preserve"> modestly increased (22%).  This increase should be held in context with a comparison to Section 1 of the Middle Huron (Dexter, Chelsea areas) which has seen a </w:t>
      </w:r>
      <w:r w:rsidRPr="00706E6B">
        <w:rPr>
          <w:rFonts w:ascii="Arial" w:hAnsi="Arial" w:cs="Arial"/>
          <w:sz w:val="22"/>
          <w:szCs w:val="22"/>
        </w:rPr>
        <w:t>91% change</w:t>
      </w:r>
      <w:r>
        <w:rPr>
          <w:rFonts w:ascii="Arial" w:hAnsi="Arial" w:cs="Arial"/>
          <w:sz w:val="22"/>
          <w:szCs w:val="22"/>
        </w:rPr>
        <w:t xml:space="preserve"> and Section 2 (Ann Arbor) which has seen a 20% change.</w:t>
      </w:r>
      <w:r w:rsidRPr="00706E6B">
        <w:rPr>
          <w:rFonts w:ascii="Arial" w:hAnsi="Arial" w:cs="Arial"/>
          <w:sz w:val="22"/>
          <w:szCs w:val="22"/>
        </w:rPr>
        <w:t xml:space="preserve"> </w:t>
      </w:r>
    </w:p>
    <w:p w14:paraId="570473DA" w14:textId="77777777" w:rsidR="008B4D33" w:rsidRDefault="008B4D33" w:rsidP="00706E6B">
      <w:pPr>
        <w:pStyle w:val="NormalWeb"/>
        <w:keepLines/>
        <w:spacing w:before="0" w:beforeAutospacing="0" w:after="0" w:afterAutospacing="0"/>
        <w:rPr>
          <w:rFonts w:ascii="Arial" w:hAnsi="Arial" w:cs="Arial"/>
          <w:sz w:val="22"/>
          <w:szCs w:val="22"/>
        </w:rPr>
      </w:pPr>
    </w:p>
    <w:p w14:paraId="7223DBCE" w14:textId="5DC33AD8" w:rsidR="008B4D33" w:rsidRPr="00706E6B" w:rsidRDefault="008B4D33" w:rsidP="00706E6B">
      <w:pPr>
        <w:pStyle w:val="NormalWeb"/>
        <w:keepLines/>
        <w:spacing w:before="0" w:beforeAutospacing="0" w:after="0" w:afterAutospacing="0"/>
        <w:rPr>
          <w:rFonts w:ascii="Arial" w:hAnsi="Arial" w:cs="Arial"/>
          <w:sz w:val="22"/>
          <w:szCs w:val="22"/>
        </w:rPr>
      </w:pPr>
      <w:r w:rsidRPr="00706E6B">
        <w:rPr>
          <w:rFonts w:ascii="Arial" w:hAnsi="Arial" w:cs="Arial"/>
          <w:sz w:val="22"/>
          <w:szCs w:val="22"/>
        </w:rPr>
        <w:t xml:space="preserve">The largest contributor to </w:t>
      </w:r>
      <w:r>
        <w:rPr>
          <w:rFonts w:ascii="Arial" w:hAnsi="Arial" w:cs="Arial"/>
          <w:sz w:val="22"/>
          <w:szCs w:val="22"/>
        </w:rPr>
        <w:t>population increase</w:t>
      </w:r>
      <w:r w:rsidRPr="00706E6B">
        <w:rPr>
          <w:rFonts w:ascii="Arial" w:hAnsi="Arial" w:cs="Arial"/>
          <w:sz w:val="22"/>
          <w:szCs w:val="22"/>
        </w:rPr>
        <w:t xml:space="preserve"> was </w:t>
      </w:r>
      <w:r>
        <w:rPr>
          <w:rFonts w:ascii="Arial" w:hAnsi="Arial" w:cs="Arial"/>
          <w:sz w:val="22"/>
          <w:szCs w:val="22"/>
        </w:rPr>
        <w:t>Ypsilanti Township</w:t>
      </w:r>
      <w:r w:rsidRPr="00706E6B">
        <w:rPr>
          <w:rFonts w:ascii="Arial" w:hAnsi="Arial" w:cs="Arial"/>
          <w:sz w:val="22"/>
          <w:szCs w:val="22"/>
        </w:rPr>
        <w:t>,</w:t>
      </w:r>
      <w:r>
        <w:rPr>
          <w:rFonts w:ascii="Arial" w:hAnsi="Arial" w:cs="Arial"/>
          <w:sz w:val="22"/>
          <w:szCs w:val="22"/>
        </w:rPr>
        <w:t xml:space="preserve"> whose population increased</w:t>
      </w:r>
      <w:r w:rsidRPr="00706E6B">
        <w:rPr>
          <w:rFonts w:ascii="Arial" w:hAnsi="Arial" w:cs="Arial"/>
          <w:sz w:val="22"/>
          <w:szCs w:val="22"/>
        </w:rPr>
        <w:t xml:space="preserve"> by </w:t>
      </w:r>
      <w:r>
        <w:rPr>
          <w:rFonts w:ascii="Arial" w:hAnsi="Arial" w:cs="Arial"/>
          <w:sz w:val="22"/>
          <w:szCs w:val="22"/>
        </w:rPr>
        <w:t xml:space="preserve">approximately 10,000 people, and Van Buren Township </w:t>
      </w:r>
      <w:r w:rsidRPr="00706E6B">
        <w:rPr>
          <w:rFonts w:ascii="Arial" w:hAnsi="Arial" w:cs="Arial"/>
          <w:sz w:val="22"/>
          <w:szCs w:val="22"/>
        </w:rPr>
        <w:t>(</w:t>
      </w:r>
      <w:r>
        <w:rPr>
          <w:rFonts w:ascii="Arial" w:hAnsi="Arial" w:cs="Arial"/>
          <w:sz w:val="22"/>
          <w:szCs w:val="22"/>
        </w:rPr>
        <w:t>9,000 people</w:t>
      </w:r>
      <w:r w:rsidRPr="00706E6B">
        <w:rPr>
          <w:rFonts w:ascii="Arial" w:hAnsi="Arial" w:cs="Arial"/>
          <w:sz w:val="22"/>
          <w:szCs w:val="22"/>
        </w:rPr>
        <w:t>)</w:t>
      </w:r>
      <w:r>
        <w:rPr>
          <w:rFonts w:ascii="Arial" w:hAnsi="Arial" w:cs="Arial"/>
          <w:sz w:val="22"/>
          <w:szCs w:val="22"/>
        </w:rPr>
        <w:t xml:space="preserve">. Superior Township increased by the highest percentage with 70% but the absolute numbers are lower (6,000 people). The City of Ypsilanti </w:t>
      </w:r>
      <w:r w:rsidRPr="00706E6B">
        <w:rPr>
          <w:rFonts w:ascii="Arial" w:hAnsi="Arial" w:cs="Arial"/>
          <w:sz w:val="22"/>
          <w:szCs w:val="22"/>
        </w:rPr>
        <w:t>was the only to area to have a population decrease</w:t>
      </w:r>
      <w:r>
        <w:rPr>
          <w:rFonts w:ascii="Arial" w:hAnsi="Arial" w:cs="Arial"/>
          <w:sz w:val="22"/>
          <w:szCs w:val="22"/>
        </w:rPr>
        <w:t xml:space="preserve"> (about 4,000 people, -17%)</w:t>
      </w:r>
    </w:p>
    <w:p w14:paraId="64B457B5" w14:textId="4A549F1D" w:rsidR="008B4D33" w:rsidRPr="001E7494" w:rsidRDefault="008B4D33" w:rsidP="006E5D33">
      <w:pPr>
        <w:pStyle w:val="NormalWeb"/>
        <w:spacing w:after="120" w:afterAutospacing="0"/>
        <w:rPr>
          <w:rFonts w:ascii="Arial" w:hAnsi="Arial" w:cs="Arial"/>
          <w:sz w:val="22"/>
          <w:szCs w:val="22"/>
        </w:rPr>
      </w:pPr>
      <w:r w:rsidRPr="001E7494">
        <w:rPr>
          <w:rFonts w:ascii="Arial" w:hAnsi="Arial" w:cs="Arial"/>
          <w:sz w:val="22"/>
          <w:szCs w:val="22"/>
        </w:rPr>
        <w:t xml:space="preserve">All of the municipalities, including the City of Ypsilanti, are expected to grow by some positive rate in population by 2030 and 2040, but SEMCOG notes that the recession in the circa-2010 timeframe contributed to a slowing growth period and that in general the rate of growth is predicted to be slower from 2020-2040 than it was from 1990-2010. </w:t>
      </w:r>
    </w:p>
    <w:p w14:paraId="7595ADEA" w14:textId="7A985D55" w:rsidR="008B4D33" w:rsidRDefault="008B4D33" w:rsidP="006E5D33">
      <w:pPr>
        <w:pStyle w:val="NormalWeb"/>
        <w:spacing w:after="120" w:afterAutospacing="0"/>
        <w:rPr>
          <w:rFonts w:ascii="Arial" w:hAnsi="Arial" w:cs="Arial"/>
          <w:sz w:val="22"/>
          <w:szCs w:val="22"/>
        </w:rPr>
      </w:pPr>
      <w:r w:rsidRPr="00823887">
        <w:rPr>
          <w:rFonts w:ascii="Arial" w:hAnsi="Arial" w:cs="Arial"/>
          <w:sz w:val="22"/>
          <w:szCs w:val="22"/>
        </w:rPr>
        <w:t>Changes in total housing also reflect the changing population throughout the Watershed. Building of housing closely reflects population growth.</w:t>
      </w:r>
      <w:r w:rsidRPr="00823887">
        <w:rPr>
          <w:rStyle w:val="EndnoteReference"/>
          <w:rFonts w:ascii="Arial" w:hAnsi="Arial" w:cs="Arial"/>
          <w:sz w:val="22"/>
          <w:szCs w:val="22"/>
        </w:rPr>
        <w:t xml:space="preserve"> </w:t>
      </w:r>
      <w:r w:rsidRPr="00823887">
        <w:rPr>
          <w:rStyle w:val="EndnoteReference"/>
          <w:rFonts w:ascii="Arial" w:hAnsi="Arial" w:cs="Arial"/>
          <w:sz w:val="22"/>
          <w:szCs w:val="22"/>
        </w:rPr>
        <w:endnoteReference w:id="5"/>
      </w:r>
    </w:p>
    <w:p w14:paraId="0A3DF12F" w14:textId="79627670" w:rsidR="008B4D33" w:rsidRPr="00A27E1C" w:rsidRDefault="008B4D33" w:rsidP="006E5D33">
      <w:pPr>
        <w:pStyle w:val="NormalWeb"/>
        <w:keepLines/>
        <w:spacing w:after="0" w:afterAutospacing="0"/>
        <w:ind w:right="540"/>
        <w:rPr>
          <w:rFonts w:ascii="Arial" w:hAnsi="Arial" w:cs="Arial"/>
          <w:i/>
          <w:sz w:val="22"/>
          <w:szCs w:val="22"/>
        </w:rPr>
      </w:pPr>
      <w:r w:rsidRPr="00144396">
        <w:rPr>
          <w:rFonts w:ascii="Arial" w:hAnsi="Arial" w:cs="Arial"/>
          <w:i/>
          <w:sz w:val="18"/>
          <w:szCs w:val="18"/>
        </w:rPr>
        <w:t>Table 2.</w:t>
      </w:r>
      <w:r>
        <w:rPr>
          <w:rFonts w:ascii="Arial" w:hAnsi="Arial" w:cs="Arial"/>
          <w:i/>
          <w:sz w:val="18"/>
          <w:szCs w:val="18"/>
        </w:rPr>
        <w:t xml:space="preserve">4. </w:t>
      </w:r>
      <w:r w:rsidRPr="00144396">
        <w:rPr>
          <w:rFonts w:ascii="Arial" w:hAnsi="Arial" w:cs="Arial"/>
          <w:i/>
          <w:sz w:val="18"/>
          <w:szCs w:val="18"/>
        </w:rPr>
        <w:t>1990-2040 Population Changes for Core Communities in the Watershed</w:t>
      </w:r>
      <w:r w:rsidRPr="00144396">
        <w:rPr>
          <w:rStyle w:val="EndnoteReference"/>
          <w:rFonts w:ascii="Arial" w:hAnsi="Arial" w:cs="Arial"/>
          <w:i/>
          <w:sz w:val="18"/>
          <w:szCs w:val="18"/>
        </w:rPr>
        <w:endnoteReference w:id="6"/>
      </w:r>
    </w:p>
    <w:tbl>
      <w:tblPr>
        <w:tblW w:w="910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8"/>
        <w:gridCol w:w="1073"/>
        <w:gridCol w:w="1080"/>
        <w:gridCol w:w="1080"/>
        <w:gridCol w:w="1080"/>
        <w:gridCol w:w="907"/>
        <w:gridCol w:w="1080"/>
        <w:gridCol w:w="1080"/>
      </w:tblGrid>
      <w:tr w:rsidR="008B4D33" w:rsidRPr="00C40AE3" w14:paraId="7F7B4C29" w14:textId="77777777" w:rsidTr="00B04EE4">
        <w:trPr>
          <w:cantSplit/>
          <w:tblHeader/>
        </w:trPr>
        <w:tc>
          <w:tcPr>
            <w:tcW w:w="1728" w:type="dxa"/>
            <w:shd w:val="clear" w:color="auto" w:fill="auto"/>
          </w:tcPr>
          <w:p w14:paraId="055A3F44" w14:textId="77777777" w:rsidR="008B4D33" w:rsidRPr="00144396" w:rsidRDefault="008B4D33" w:rsidP="00221B2E">
            <w:pPr>
              <w:pStyle w:val="NormalWeb"/>
              <w:keepLines/>
              <w:rPr>
                <w:rFonts w:ascii="Arial" w:hAnsi="Arial" w:cs="Arial"/>
                <w:b/>
                <w:bCs/>
                <w:sz w:val="18"/>
                <w:szCs w:val="18"/>
              </w:rPr>
            </w:pPr>
          </w:p>
        </w:tc>
        <w:tc>
          <w:tcPr>
            <w:tcW w:w="1073" w:type="dxa"/>
            <w:shd w:val="clear" w:color="auto" w:fill="auto"/>
          </w:tcPr>
          <w:p w14:paraId="7239C71A" w14:textId="77777777" w:rsidR="008B4D33" w:rsidRPr="00144396" w:rsidRDefault="008B4D33" w:rsidP="00221B2E">
            <w:pPr>
              <w:pStyle w:val="NormalWeb"/>
              <w:keepLines/>
              <w:rPr>
                <w:rFonts w:ascii="Arial" w:hAnsi="Arial" w:cs="Arial"/>
                <w:b/>
                <w:bCs/>
                <w:sz w:val="18"/>
                <w:szCs w:val="18"/>
              </w:rPr>
            </w:pPr>
            <w:r w:rsidRPr="00144396">
              <w:rPr>
                <w:rFonts w:ascii="Arial" w:hAnsi="Arial" w:cs="Arial"/>
                <w:b/>
                <w:bCs/>
                <w:sz w:val="18"/>
                <w:szCs w:val="18"/>
              </w:rPr>
              <w:t>1990 Census</w:t>
            </w:r>
          </w:p>
        </w:tc>
        <w:tc>
          <w:tcPr>
            <w:tcW w:w="1080" w:type="dxa"/>
            <w:shd w:val="clear" w:color="auto" w:fill="auto"/>
          </w:tcPr>
          <w:p w14:paraId="2D982183" w14:textId="77777777" w:rsidR="008B4D33" w:rsidRPr="00144396" w:rsidRDefault="008B4D33" w:rsidP="00221B2E">
            <w:pPr>
              <w:pStyle w:val="NormalWeb"/>
              <w:keepLines/>
              <w:rPr>
                <w:rFonts w:ascii="Arial" w:hAnsi="Arial" w:cs="Arial"/>
                <w:b/>
                <w:bCs/>
                <w:sz w:val="18"/>
                <w:szCs w:val="18"/>
              </w:rPr>
            </w:pPr>
            <w:r w:rsidRPr="00144396">
              <w:rPr>
                <w:rFonts w:ascii="Arial" w:hAnsi="Arial" w:cs="Arial"/>
                <w:b/>
                <w:bCs/>
                <w:sz w:val="18"/>
                <w:szCs w:val="18"/>
              </w:rPr>
              <w:t>2000 Census</w:t>
            </w:r>
          </w:p>
        </w:tc>
        <w:tc>
          <w:tcPr>
            <w:tcW w:w="1080" w:type="dxa"/>
            <w:shd w:val="clear" w:color="auto" w:fill="auto"/>
          </w:tcPr>
          <w:p w14:paraId="404A7C2D" w14:textId="77777777" w:rsidR="008B4D33" w:rsidRPr="00144396" w:rsidRDefault="008B4D33" w:rsidP="00221B2E">
            <w:pPr>
              <w:pStyle w:val="NormalWeb"/>
              <w:keepLines/>
              <w:rPr>
                <w:rFonts w:ascii="Arial" w:hAnsi="Arial" w:cs="Arial"/>
                <w:b/>
                <w:bCs/>
                <w:sz w:val="18"/>
                <w:szCs w:val="18"/>
              </w:rPr>
            </w:pPr>
            <w:r w:rsidRPr="00144396">
              <w:rPr>
                <w:rFonts w:ascii="Arial" w:hAnsi="Arial" w:cs="Arial"/>
                <w:b/>
                <w:bCs/>
                <w:sz w:val="18"/>
                <w:szCs w:val="18"/>
              </w:rPr>
              <w:t>2010 Census</w:t>
            </w:r>
          </w:p>
        </w:tc>
        <w:tc>
          <w:tcPr>
            <w:tcW w:w="1080" w:type="dxa"/>
          </w:tcPr>
          <w:p w14:paraId="048A9F2C" w14:textId="77777777" w:rsidR="008B4D33" w:rsidRPr="00144396" w:rsidRDefault="008B4D33" w:rsidP="00221B2E">
            <w:pPr>
              <w:pStyle w:val="NormalWeb"/>
              <w:keepLines/>
              <w:rPr>
                <w:rFonts w:ascii="Arial" w:hAnsi="Arial" w:cs="Arial"/>
                <w:b/>
                <w:bCs/>
                <w:sz w:val="18"/>
                <w:szCs w:val="18"/>
              </w:rPr>
            </w:pPr>
            <w:r w:rsidRPr="00144396">
              <w:rPr>
                <w:rFonts w:ascii="Arial" w:hAnsi="Arial" w:cs="Arial"/>
                <w:b/>
                <w:bCs/>
                <w:sz w:val="18"/>
                <w:szCs w:val="18"/>
              </w:rPr>
              <w:t>2020 Census</w:t>
            </w:r>
          </w:p>
        </w:tc>
        <w:tc>
          <w:tcPr>
            <w:tcW w:w="907" w:type="dxa"/>
          </w:tcPr>
          <w:p w14:paraId="5508FFC6" w14:textId="54296B94" w:rsidR="008B4D33" w:rsidRPr="00144396" w:rsidRDefault="008B4D33" w:rsidP="00221B2E">
            <w:pPr>
              <w:pStyle w:val="NormalWeb"/>
              <w:keepLines/>
              <w:rPr>
                <w:rFonts w:ascii="Arial" w:hAnsi="Arial" w:cs="Arial"/>
                <w:b/>
                <w:bCs/>
                <w:sz w:val="18"/>
                <w:szCs w:val="18"/>
              </w:rPr>
            </w:pPr>
            <w:r>
              <w:rPr>
                <w:rFonts w:ascii="Arial" w:hAnsi="Arial" w:cs="Arial"/>
                <w:b/>
                <w:bCs/>
                <w:sz w:val="18"/>
                <w:szCs w:val="18"/>
              </w:rPr>
              <w:t xml:space="preserve">   </w:t>
            </w:r>
            <w:r w:rsidRPr="00144396">
              <w:rPr>
                <w:rFonts w:ascii="Arial" w:hAnsi="Arial" w:cs="Arial"/>
                <w:b/>
                <w:bCs/>
                <w:sz w:val="18"/>
                <w:szCs w:val="18"/>
              </w:rPr>
              <w:t>% change 1990-2020</w:t>
            </w:r>
          </w:p>
        </w:tc>
        <w:tc>
          <w:tcPr>
            <w:tcW w:w="1080" w:type="dxa"/>
            <w:shd w:val="clear" w:color="auto" w:fill="auto"/>
          </w:tcPr>
          <w:p w14:paraId="55492FE3" w14:textId="77777777" w:rsidR="008B4D33" w:rsidRPr="00144396" w:rsidRDefault="008B4D33" w:rsidP="00221B2E">
            <w:pPr>
              <w:pStyle w:val="NormalWeb"/>
              <w:keepLines/>
              <w:rPr>
                <w:rFonts w:ascii="Arial" w:hAnsi="Arial" w:cs="Arial"/>
                <w:b/>
                <w:bCs/>
                <w:sz w:val="18"/>
                <w:szCs w:val="18"/>
              </w:rPr>
            </w:pPr>
            <w:r w:rsidRPr="00144396">
              <w:rPr>
                <w:rFonts w:ascii="Arial" w:hAnsi="Arial" w:cs="Arial"/>
                <w:b/>
                <w:bCs/>
                <w:sz w:val="18"/>
                <w:szCs w:val="18"/>
              </w:rPr>
              <w:t>2030 SEMCOG forecast</w:t>
            </w:r>
          </w:p>
        </w:tc>
        <w:tc>
          <w:tcPr>
            <w:tcW w:w="1080" w:type="dxa"/>
          </w:tcPr>
          <w:p w14:paraId="73BEF2F3" w14:textId="77777777" w:rsidR="008B4D33" w:rsidRPr="00144396" w:rsidRDefault="008B4D33" w:rsidP="00221B2E">
            <w:pPr>
              <w:pStyle w:val="NormalWeb"/>
              <w:keepLines/>
              <w:rPr>
                <w:rFonts w:ascii="Arial" w:hAnsi="Arial" w:cs="Arial"/>
                <w:b/>
                <w:bCs/>
                <w:sz w:val="18"/>
                <w:szCs w:val="18"/>
              </w:rPr>
            </w:pPr>
            <w:r w:rsidRPr="00144396">
              <w:rPr>
                <w:rFonts w:ascii="Arial" w:hAnsi="Arial" w:cs="Arial"/>
                <w:b/>
                <w:bCs/>
                <w:sz w:val="18"/>
                <w:szCs w:val="18"/>
              </w:rPr>
              <w:t>2040 SEMCOG forecast</w:t>
            </w:r>
          </w:p>
        </w:tc>
      </w:tr>
      <w:tr w:rsidR="008B4D33" w:rsidRPr="00C40AE3" w14:paraId="668B0066" w14:textId="77777777" w:rsidTr="00B04EE4">
        <w:trPr>
          <w:cantSplit/>
          <w:trHeight w:val="368"/>
        </w:trPr>
        <w:tc>
          <w:tcPr>
            <w:tcW w:w="1728" w:type="dxa"/>
            <w:vAlign w:val="center"/>
          </w:tcPr>
          <w:p w14:paraId="3825B2B6" w14:textId="717C9D50" w:rsidR="008B4D33" w:rsidRPr="00144396" w:rsidRDefault="008B4D33" w:rsidP="00221B2E">
            <w:pPr>
              <w:pStyle w:val="NormalWeb"/>
              <w:keepLines/>
              <w:jc w:val="right"/>
              <w:rPr>
                <w:rFonts w:ascii="Arial" w:hAnsi="Arial" w:cs="Arial"/>
                <w:b/>
                <w:bCs/>
                <w:sz w:val="18"/>
                <w:szCs w:val="18"/>
              </w:rPr>
            </w:pPr>
            <w:r>
              <w:rPr>
                <w:rFonts w:ascii="Arial" w:hAnsi="Arial" w:cs="Arial"/>
                <w:b/>
                <w:bCs/>
                <w:sz w:val="18"/>
                <w:szCs w:val="18"/>
              </w:rPr>
              <w:t>City of Belleville</w:t>
            </w:r>
          </w:p>
        </w:tc>
        <w:tc>
          <w:tcPr>
            <w:tcW w:w="1073" w:type="dxa"/>
            <w:vAlign w:val="center"/>
          </w:tcPr>
          <w:p w14:paraId="1945C6A9" w14:textId="0FCBC665" w:rsidR="008B4D33" w:rsidRPr="00144396" w:rsidRDefault="008B4D33" w:rsidP="00221B2E">
            <w:pPr>
              <w:pStyle w:val="NormalWeb"/>
              <w:keepLines/>
              <w:jc w:val="right"/>
              <w:rPr>
                <w:rFonts w:ascii="Arial" w:hAnsi="Arial" w:cs="Arial"/>
                <w:sz w:val="18"/>
                <w:szCs w:val="18"/>
              </w:rPr>
            </w:pPr>
            <w:r>
              <w:rPr>
                <w:rFonts w:ascii="Arial" w:hAnsi="Arial" w:cs="Arial"/>
                <w:sz w:val="18"/>
                <w:szCs w:val="18"/>
              </w:rPr>
              <w:t>3,270</w:t>
            </w:r>
          </w:p>
        </w:tc>
        <w:tc>
          <w:tcPr>
            <w:tcW w:w="1080" w:type="dxa"/>
            <w:vAlign w:val="center"/>
          </w:tcPr>
          <w:p w14:paraId="24E3135E" w14:textId="75335A19" w:rsidR="008B4D33" w:rsidRPr="00144396" w:rsidRDefault="008B4D33" w:rsidP="00221B2E">
            <w:pPr>
              <w:pStyle w:val="NormalWeb"/>
              <w:keepLines/>
              <w:jc w:val="right"/>
              <w:rPr>
                <w:rFonts w:ascii="Arial" w:hAnsi="Arial" w:cs="Arial"/>
                <w:sz w:val="18"/>
                <w:szCs w:val="18"/>
              </w:rPr>
            </w:pPr>
            <w:r>
              <w:rPr>
                <w:rFonts w:ascii="Arial" w:hAnsi="Arial" w:cs="Arial"/>
                <w:sz w:val="18"/>
                <w:szCs w:val="18"/>
              </w:rPr>
              <w:t>3,997</w:t>
            </w:r>
          </w:p>
        </w:tc>
        <w:tc>
          <w:tcPr>
            <w:tcW w:w="1080" w:type="dxa"/>
            <w:vAlign w:val="center"/>
          </w:tcPr>
          <w:p w14:paraId="366ACC0D" w14:textId="364BB077" w:rsidR="008B4D33" w:rsidRPr="00144396" w:rsidRDefault="008B4D33" w:rsidP="00221B2E">
            <w:pPr>
              <w:keepLines/>
              <w:jc w:val="right"/>
              <w:rPr>
                <w:rFonts w:ascii="Arial" w:hAnsi="Arial" w:cs="Arial"/>
                <w:sz w:val="18"/>
                <w:szCs w:val="18"/>
              </w:rPr>
            </w:pPr>
            <w:r>
              <w:rPr>
                <w:rFonts w:ascii="Arial" w:hAnsi="Arial" w:cs="Arial"/>
                <w:sz w:val="18"/>
                <w:szCs w:val="18"/>
              </w:rPr>
              <w:t>3,991</w:t>
            </w:r>
          </w:p>
        </w:tc>
        <w:tc>
          <w:tcPr>
            <w:tcW w:w="1080" w:type="dxa"/>
            <w:vAlign w:val="center"/>
          </w:tcPr>
          <w:p w14:paraId="3A22CC77" w14:textId="7A28B66E" w:rsidR="008B4D33" w:rsidRPr="00144396" w:rsidRDefault="008B4D33" w:rsidP="00221B2E">
            <w:pPr>
              <w:pStyle w:val="NormalWeb"/>
              <w:keepLines/>
              <w:jc w:val="right"/>
              <w:rPr>
                <w:rFonts w:ascii="Arial" w:hAnsi="Arial" w:cs="Arial"/>
                <w:sz w:val="18"/>
                <w:szCs w:val="18"/>
              </w:rPr>
            </w:pPr>
            <w:r>
              <w:rPr>
                <w:rFonts w:ascii="Arial" w:hAnsi="Arial" w:cs="Arial"/>
                <w:sz w:val="18"/>
                <w:szCs w:val="18"/>
              </w:rPr>
              <w:t>4,008</w:t>
            </w:r>
          </w:p>
        </w:tc>
        <w:tc>
          <w:tcPr>
            <w:tcW w:w="907" w:type="dxa"/>
            <w:vAlign w:val="center"/>
          </w:tcPr>
          <w:p w14:paraId="0B3A58F1" w14:textId="4830A962" w:rsidR="008B4D33" w:rsidRPr="00144396" w:rsidRDefault="008B4D33" w:rsidP="00221B2E">
            <w:pPr>
              <w:keepLines/>
              <w:jc w:val="right"/>
              <w:rPr>
                <w:rFonts w:ascii="Arial" w:hAnsi="Arial" w:cs="Arial"/>
                <w:sz w:val="18"/>
                <w:szCs w:val="18"/>
              </w:rPr>
            </w:pPr>
            <w:r>
              <w:rPr>
                <w:rFonts w:ascii="Arial" w:hAnsi="Arial" w:cs="Arial"/>
                <w:sz w:val="18"/>
                <w:szCs w:val="18"/>
              </w:rPr>
              <w:t>+23%</w:t>
            </w:r>
          </w:p>
        </w:tc>
        <w:tc>
          <w:tcPr>
            <w:tcW w:w="1080" w:type="dxa"/>
            <w:vAlign w:val="center"/>
          </w:tcPr>
          <w:p w14:paraId="5872CA60" w14:textId="285A41A1" w:rsidR="008B4D33" w:rsidRPr="00144396" w:rsidRDefault="008B4D33" w:rsidP="00221B2E">
            <w:pPr>
              <w:keepLines/>
              <w:jc w:val="right"/>
              <w:rPr>
                <w:rFonts w:ascii="Arial" w:hAnsi="Arial" w:cs="Arial"/>
                <w:sz w:val="18"/>
                <w:szCs w:val="18"/>
              </w:rPr>
            </w:pPr>
            <w:r>
              <w:rPr>
                <w:rFonts w:ascii="Arial" w:hAnsi="Arial" w:cs="Arial"/>
                <w:sz w:val="18"/>
                <w:szCs w:val="18"/>
              </w:rPr>
              <w:t>3,613</w:t>
            </w:r>
          </w:p>
        </w:tc>
        <w:tc>
          <w:tcPr>
            <w:tcW w:w="1080" w:type="dxa"/>
            <w:vAlign w:val="center"/>
          </w:tcPr>
          <w:p w14:paraId="46CAA0E3" w14:textId="5C83668E" w:rsidR="008B4D33" w:rsidRPr="00144396" w:rsidRDefault="008B4D33" w:rsidP="00CF538C">
            <w:pPr>
              <w:keepLines/>
              <w:jc w:val="right"/>
              <w:rPr>
                <w:rFonts w:ascii="Arial" w:hAnsi="Arial" w:cs="Arial"/>
                <w:sz w:val="18"/>
                <w:szCs w:val="18"/>
              </w:rPr>
            </w:pPr>
            <w:r>
              <w:rPr>
                <w:rFonts w:ascii="Arial" w:hAnsi="Arial" w:cs="Arial"/>
                <w:sz w:val="18"/>
                <w:szCs w:val="18"/>
              </w:rPr>
              <w:t>3,724</w:t>
            </w:r>
          </w:p>
        </w:tc>
      </w:tr>
      <w:tr w:rsidR="008B4D33" w:rsidRPr="00C40AE3" w14:paraId="33F3EE3B" w14:textId="77777777" w:rsidTr="00B04EE4">
        <w:trPr>
          <w:cantSplit/>
          <w:trHeight w:val="368"/>
        </w:trPr>
        <w:tc>
          <w:tcPr>
            <w:tcW w:w="1728" w:type="dxa"/>
            <w:vAlign w:val="center"/>
          </w:tcPr>
          <w:p w14:paraId="7D9B4462" w14:textId="7AD86137" w:rsidR="008B4D33" w:rsidRPr="00144396" w:rsidRDefault="008B4D33" w:rsidP="00221B2E">
            <w:pPr>
              <w:pStyle w:val="NormalWeb"/>
              <w:keepLines/>
              <w:jc w:val="right"/>
              <w:rPr>
                <w:rFonts w:ascii="Arial" w:hAnsi="Arial" w:cs="Arial"/>
                <w:b/>
                <w:bCs/>
                <w:sz w:val="18"/>
                <w:szCs w:val="18"/>
              </w:rPr>
            </w:pPr>
            <w:r>
              <w:rPr>
                <w:rFonts w:ascii="Arial" w:hAnsi="Arial" w:cs="Arial"/>
                <w:b/>
                <w:bCs/>
                <w:sz w:val="18"/>
                <w:szCs w:val="18"/>
              </w:rPr>
              <w:t>City of Ypsilanti</w:t>
            </w:r>
          </w:p>
        </w:tc>
        <w:tc>
          <w:tcPr>
            <w:tcW w:w="1073" w:type="dxa"/>
            <w:vAlign w:val="center"/>
          </w:tcPr>
          <w:p w14:paraId="489B630E" w14:textId="2F0BC83B" w:rsidR="008B4D33" w:rsidRPr="00144396" w:rsidRDefault="008B4D33" w:rsidP="00221B2E">
            <w:pPr>
              <w:pStyle w:val="NormalWeb"/>
              <w:keepLines/>
              <w:jc w:val="right"/>
              <w:rPr>
                <w:rFonts w:ascii="Arial" w:hAnsi="Arial" w:cs="Arial"/>
                <w:sz w:val="18"/>
                <w:szCs w:val="18"/>
              </w:rPr>
            </w:pPr>
            <w:r>
              <w:rPr>
                <w:rFonts w:ascii="Arial" w:hAnsi="Arial" w:cs="Arial"/>
                <w:sz w:val="18"/>
                <w:szCs w:val="18"/>
              </w:rPr>
              <w:t>24,846</w:t>
            </w:r>
          </w:p>
        </w:tc>
        <w:tc>
          <w:tcPr>
            <w:tcW w:w="1080" w:type="dxa"/>
            <w:vAlign w:val="center"/>
          </w:tcPr>
          <w:p w14:paraId="0C33E8E1" w14:textId="509AE1D9" w:rsidR="008B4D33" w:rsidRPr="00144396" w:rsidRDefault="008B4D33" w:rsidP="00221B2E">
            <w:pPr>
              <w:pStyle w:val="NormalWeb"/>
              <w:keepLines/>
              <w:jc w:val="right"/>
              <w:rPr>
                <w:rFonts w:ascii="Arial" w:hAnsi="Arial" w:cs="Arial"/>
                <w:sz w:val="18"/>
                <w:szCs w:val="18"/>
              </w:rPr>
            </w:pPr>
            <w:r>
              <w:rPr>
                <w:rFonts w:ascii="Arial" w:hAnsi="Arial" w:cs="Arial"/>
                <w:sz w:val="18"/>
                <w:szCs w:val="18"/>
              </w:rPr>
              <w:t>22,237</w:t>
            </w:r>
          </w:p>
        </w:tc>
        <w:tc>
          <w:tcPr>
            <w:tcW w:w="1080" w:type="dxa"/>
            <w:vAlign w:val="center"/>
          </w:tcPr>
          <w:p w14:paraId="3E79BC95" w14:textId="4C0142A0" w:rsidR="008B4D33" w:rsidRPr="00144396" w:rsidRDefault="008B4D33" w:rsidP="00221B2E">
            <w:pPr>
              <w:keepLines/>
              <w:jc w:val="right"/>
              <w:rPr>
                <w:rFonts w:ascii="Arial" w:hAnsi="Arial" w:cs="Arial"/>
                <w:sz w:val="18"/>
                <w:szCs w:val="18"/>
              </w:rPr>
            </w:pPr>
            <w:r>
              <w:rPr>
                <w:rFonts w:ascii="Arial" w:hAnsi="Arial" w:cs="Arial"/>
                <w:sz w:val="18"/>
                <w:szCs w:val="18"/>
              </w:rPr>
              <w:t>19,435</w:t>
            </w:r>
          </w:p>
        </w:tc>
        <w:tc>
          <w:tcPr>
            <w:tcW w:w="1080" w:type="dxa"/>
            <w:vAlign w:val="center"/>
          </w:tcPr>
          <w:p w14:paraId="5F44667C" w14:textId="156AF781" w:rsidR="008B4D33" w:rsidRPr="00144396" w:rsidRDefault="008B4D33" w:rsidP="00221B2E">
            <w:pPr>
              <w:pStyle w:val="NormalWeb"/>
              <w:keepLines/>
              <w:jc w:val="right"/>
              <w:rPr>
                <w:rFonts w:ascii="Arial" w:hAnsi="Arial" w:cs="Arial"/>
                <w:sz w:val="18"/>
                <w:szCs w:val="18"/>
              </w:rPr>
            </w:pPr>
            <w:r>
              <w:rPr>
                <w:rFonts w:ascii="Arial" w:hAnsi="Arial" w:cs="Arial"/>
                <w:sz w:val="18"/>
                <w:szCs w:val="18"/>
              </w:rPr>
              <w:t>20,648</w:t>
            </w:r>
          </w:p>
        </w:tc>
        <w:tc>
          <w:tcPr>
            <w:tcW w:w="907" w:type="dxa"/>
            <w:vAlign w:val="center"/>
          </w:tcPr>
          <w:p w14:paraId="5E1C9264" w14:textId="57A2D978" w:rsidR="008B4D33" w:rsidRPr="00144396" w:rsidRDefault="008B4D33" w:rsidP="00221B2E">
            <w:pPr>
              <w:keepLines/>
              <w:jc w:val="right"/>
              <w:rPr>
                <w:rFonts w:ascii="Arial" w:hAnsi="Arial" w:cs="Arial"/>
                <w:sz w:val="18"/>
                <w:szCs w:val="18"/>
              </w:rPr>
            </w:pPr>
            <w:r>
              <w:rPr>
                <w:rFonts w:ascii="Arial" w:hAnsi="Arial" w:cs="Arial"/>
                <w:sz w:val="18"/>
                <w:szCs w:val="18"/>
              </w:rPr>
              <w:t>-17%</w:t>
            </w:r>
          </w:p>
        </w:tc>
        <w:tc>
          <w:tcPr>
            <w:tcW w:w="1080" w:type="dxa"/>
            <w:vAlign w:val="center"/>
          </w:tcPr>
          <w:p w14:paraId="0928DD06" w14:textId="78801DA1" w:rsidR="008B4D33" w:rsidRPr="00144396" w:rsidRDefault="008B4D33" w:rsidP="00221B2E">
            <w:pPr>
              <w:keepLines/>
              <w:jc w:val="right"/>
              <w:rPr>
                <w:rFonts w:ascii="Arial" w:hAnsi="Arial" w:cs="Arial"/>
                <w:sz w:val="18"/>
                <w:szCs w:val="18"/>
              </w:rPr>
            </w:pPr>
            <w:r>
              <w:rPr>
                <w:rFonts w:ascii="Arial" w:hAnsi="Arial" w:cs="Arial"/>
                <w:sz w:val="18"/>
                <w:szCs w:val="18"/>
              </w:rPr>
              <w:t>23,412</w:t>
            </w:r>
          </w:p>
        </w:tc>
        <w:tc>
          <w:tcPr>
            <w:tcW w:w="1080" w:type="dxa"/>
            <w:vAlign w:val="center"/>
          </w:tcPr>
          <w:p w14:paraId="7FB3E8B9" w14:textId="1B1504D1" w:rsidR="008B4D33" w:rsidRPr="00144396" w:rsidRDefault="008B4D33" w:rsidP="00221B2E">
            <w:pPr>
              <w:keepLines/>
              <w:jc w:val="right"/>
              <w:rPr>
                <w:rFonts w:ascii="Arial" w:hAnsi="Arial" w:cs="Arial"/>
                <w:sz w:val="18"/>
                <w:szCs w:val="18"/>
              </w:rPr>
            </w:pPr>
            <w:r>
              <w:rPr>
                <w:rFonts w:ascii="Arial" w:hAnsi="Arial" w:cs="Arial"/>
                <w:sz w:val="18"/>
                <w:szCs w:val="18"/>
              </w:rPr>
              <w:t>24,290</w:t>
            </w:r>
          </w:p>
        </w:tc>
      </w:tr>
      <w:tr w:rsidR="008B4D33" w:rsidRPr="00C40AE3" w14:paraId="28ECC90A" w14:textId="77777777" w:rsidTr="00B04EE4">
        <w:trPr>
          <w:cantSplit/>
          <w:trHeight w:val="368"/>
        </w:trPr>
        <w:tc>
          <w:tcPr>
            <w:tcW w:w="1728" w:type="dxa"/>
            <w:vAlign w:val="center"/>
          </w:tcPr>
          <w:p w14:paraId="30070C00" w14:textId="51ACBE2A" w:rsidR="008B4D33" w:rsidRPr="00144396" w:rsidRDefault="008B4D33" w:rsidP="00221B2E">
            <w:pPr>
              <w:pStyle w:val="NormalWeb"/>
              <w:keepLines/>
              <w:jc w:val="right"/>
              <w:rPr>
                <w:rFonts w:ascii="Arial" w:hAnsi="Arial" w:cs="Arial"/>
                <w:b/>
                <w:bCs/>
                <w:sz w:val="18"/>
                <w:szCs w:val="18"/>
              </w:rPr>
            </w:pPr>
            <w:r>
              <w:rPr>
                <w:rFonts w:ascii="Arial" w:hAnsi="Arial" w:cs="Arial"/>
                <w:b/>
                <w:bCs/>
                <w:sz w:val="18"/>
                <w:szCs w:val="18"/>
              </w:rPr>
              <w:t>Superior Township</w:t>
            </w:r>
          </w:p>
        </w:tc>
        <w:tc>
          <w:tcPr>
            <w:tcW w:w="1073" w:type="dxa"/>
            <w:vAlign w:val="center"/>
          </w:tcPr>
          <w:p w14:paraId="1964292E" w14:textId="27E72A66" w:rsidR="008B4D33" w:rsidRPr="00144396" w:rsidRDefault="008B4D33" w:rsidP="00221B2E">
            <w:pPr>
              <w:pStyle w:val="NormalWeb"/>
              <w:keepLines/>
              <w:jc w:val="right"/>
              <w:rPr>
                <w:rFonts w:ascii="Arial" w:hAnsi="Arial" w:cs="Arial"/>
                <w:sz w:val="18"/>
                <w:szCs w:val="18"/>
              </w:rPr>
            </w:pPr>
            <w:r>
              <w:rPr>
                <w:rFonts w:ascii="Arial" w:hAnsi="Arial" w:cs="Arial"/>
                <w:sz w:val="18"/>
                <w:szCs w:val="18"/>
              </w:rPr>
              <w:t>8,720</w:t>
            </w:r>
          </w:p>
        </w:tc>
        <w:tc>
          <w:tcPr>
            <w:tcW w:w="1080" w:type="dxa"/>
            <w:vAlign w:val="center"/>
          </w:tcPr>
          <w:p w14:paraId="328C80A2" w14:textId="22CC16B4" w:rsidR="008B4D33" w:rsidRPr="00144396" w:rsidRDefault="008B4D33" w:rsidP="00221B2E">
            <w:pPr>
              <w:pStyle w:val="NormalWeb"/>
              <w:keepLines/>
              <w:jc w:val="right"/>
              <w:rPr>
                <w:rFonts w:ascii="Arial" w:hAnsi="Arial" w:cs="Arial"/>
                <w:sz w:val="18"/>
                <w:szCs w:val="18"/>
              </w:rPr>
            </w:pPr>
            <w:r>
              <w:rPr>
                <w:rFonts w:ascii="Arial" w:hAnsi="Arial" w:cs="Arial"/>
                <w:sz w:val="18"/>
                <w:szCs w:val="18"/>
              </w:rPr>
              <w:t>10,740</w:t>
            </w:r>
          </w:p>
        </w:tc>
        <w:tc>
          <w:tcPr>
            <w:tcW w:w="1080" w:type="dxa"/>
            <w:vAlign w:val="center"/>
          </w:tcPr>
          <w:p w14:paraId="532FA629" w14:textId="0783269A" w:rsidR="008B4D33" w:rsidRPr="00144396" w:rsidRDefault="008B4D33" w:rsidP="00221B2E">
            <w:pPr>
              <w:keepLines/>
              <w:jc w:val="right"/>
              <w:rPr>
                <w:rFonts w:ascii="Arial" w:hAnsi="Arial" w:cs="Arial"/>
                <w:sz w:val="18"/>
                <w:szCs w:val="18"/>
              </w:rPr>
            </w:pPr>
            <w:r>
              <w:rPr>
                <w:rFonts w:ascii="Arial" w:hAnsi="Arial" w:cs="Arial"/>
                <w:sz w:val="18"/>
                <w:szCs w:val="18"/>
              </w:rPr>
              <w:t>13,058</w:t>
            </w:r>
          </w:p>
        </w:tc>
        <w:tc>
          <w:tcPr>
            <w:tcW w:w="1080" w:type="dxa"/>
            <w:vAlign w:val="center"/>
          </w:tcPr>
          <w:p w14:paraId="66064E88" w14:textId="33F4F6D6" w:rsidR="008B4D33" w:rsidRPr="00144396" w:rsidRDefault="008B4D33" w:rsidP="00221B2E">
            <w:pPr>
              <w:pStyle w:val="NormalWeb"/>
              <w:keepLines/>
              <w:jc w:val="right"/>
              <w:rPr>
                <w:rFonts w:ascii="Arial" w:hAnsi="Arial" w:cs="Arial"/>
                <w:sz w:val="18"/>
                <w:szCs w:val="18"/>
              </w:rPr>
            </w:pPr>
            <w:r>
              <w:rPr>
                <w:rFonts w:ascii="Arial" w:hAnsi="Arial" w:cs="Arial"/>
                <w:sz w:val="18"/>
                <w:szCs w:val="18"/>
              </w:rPr>
              <w:t>14,832</w:t>
            </w:r>
          </w:p>
        </w:tc>
        <w:tc>
          <w:tcPr>
            <w:tcW w:w="907" w:type="dxa"/>
            <w:vAlign w:val="center"/>
          </w:tcPr>
          <w:p w14:paraId="1AFF96DE" w14:textId="025D1664" w:rsidR="008B4D33" w:rsidRPr="00144396" w:rsidRDefault="008B4D33" w:rsidP="00221B2E">
            <w:pPr>
              <w:keepLines/>
              <w:jc w:val="right"/>
              <w:rPr>
                <w:rFonts w:ascii="Arial" w:hAnsi="Arial" w:cs="Arial"/>
                <w:sz w:val="18"/>
                <w:szCs w:val="18"/>
              </w:rPr>
            </w:pPr>
            <w:r>
              <w:rPr>
                <w:rFonts w:ascii="Arial" w:hAnsi="Arial" w:cs="Arial"/>
                <w:sz w:val="18"/>
                <w:szCs w:val="18"/>
              </w:rPr>
              <w:t>+70%</w:t>
            </w:r>
          </w:p>
        </w:tc>
        <w:tc>
          <w:tcPr>
            <w:tcW w:w="1080" w:type="dxa"/>
            <w:vAlign w:val="center"/>
          </w:tcPr>
          <w:p w14:paraId="5A4B85DC" w14:textId="65F58E2F" w:rsidR="008B4D33" w:rsidRPr="00144396" w:rsidRDefault="008B4D33" w:rsidP="00221B2E">
            <w:pPr>
              <w:keepLines/>
              <w:jc w:val="right"/>
              <w:rPr>
                <w:rFonts w:ascii="Arial" w:hAnsi="Arial" w:cs="Arial"/>
                <w:sz w:val="18"/>
                <w:szCs w:val="18"/>
              </w:rPr>
            </w:pPr>
            <w:r>
              <w:rPr>
                <w:rFonts w:ascii="Arial" w:hAnsi="Arial" w:cs="Arial"/>
                <w:sz w:val="18"/>
                <w:szCs w:val="18"/>
              </w:rPr>
              <w:t>16,285</w:t>
            </w:r>
          </w:p>
        </w:tc>
        <w:tc>
          <w:tcPr>
            <w:tcW w:w="1080" w:type="dxa"/>
            <w:vAlign w:val="center"/>
          </w:tcPr>
          <w:p w14:paraId="1E5B2024" w14:textId="28F7D46B" w:rsidR="008B4D33" w:rsidRPr="00144396" w:rsidRDefault="008B4D33" w:rsidP="00221B2E">
            <w:pPr>
              <w:keepLines/>
              <w:jc w:val="right"/>
              <w:rPr>
                <w:rFonts w:ascii="Arial" w:hAnsi="Arial" w:cs="Arial"/>
                <w:sz w:val="18"/>
                <w:szCs w:val="18"/>
              </w:rPr>
            </w:pPr>
            <w:r>
              <w:rPr>
                <w:rFonts w:ascii="Arial" w:hAnsi="Arial" w:cs="Arial"/>
                <w:sz w:val="18"/>
                <w:szCs w:val="18"/>
              </w:rPr>
              <w:t>18,689</w:t>
            </w:r>
          </w:p>
        </w:tc>
      </w:tr>
      <w:tr w:rsidR="008B4D33" w:rsidRPr="00C40AE3" w14:paraId="7EC67A99" w14:textId="77777777" w:rsidTr="00B04EE4">
        <w:trPr>
          <w:cantSplit/>
          <w:trHeight w:val="368"/>
        </w:trPr>
        <w:tc>
          <w:tcPr>
            <w:tcW w:w="1728" w:type="dxa"/>
            <w:vAlign w:val="center"/>
          </w:tcPr>
          <w:p w14:paraId="1EE954CF" w14:textId="4CFE2A15" w:rsidR="008B4D33" w:rsidRPr="00144396" w:rsidRDefault="008B4D33" w:rsidP="00221B2E">
            <w:pPr>
              <w:pStyle w:val="NormalWeb"/>
              <w:keepLines/>
              <w:jc w:val="right"/>
              <w:rPr>
                <w:rFonts w:ascii="Arial" w:hAnsi="Arial" w:cs="Arial"/>
                <w:b/>
                <w:bCs/>
                <w:sz w:val="18"/>
                <w:szCs w:val="18"/>
              </w:rPr>
            </w:pPr>
            <w:r>
              <w:rPr>
                <w:rFonts w:ascii="Arial" w:hAnsi="Arial" w:cs="Arial"/>
                <w:b/>
                <w:bCs/>
                <w:sz w:val="18"/>
                <w:szCs w:val="18"/>
              </w:rPr>
              <w:t>Van Buren Township</w:t>
            </w:r>
          </w:p>
        </w:tc>
        <w:tc>
          <w:tcPr>
            <w:tcW w:w="1073" w:type="dxa"/>
            <w:vAlign w:val="center"/>
          </w:tcPr>
          <w:p w14:paraId="78674A4F" w14:textId="3A98D127" w:rsidR="008B4D33" w:rsidRPr="00144396" w:rsidRDefault="008B4D33" w:rsidP="00221B2E">
            <w:pPr>
              <w:pStyle w:val="NormalWeb"/>
              <w:keepLines/>
              <w:jc w:val="right"/>
              <w:rPr>
                <w:rFonts w:ascii="Arial" w:hAnsi="Arial" w:cs="Arial"/>
                <w:sz w:val="18"/>
                <w:szCs w:val="18"/>
              </w:rPr>
            </w:pPr>
            <w:r>
              <w:rPr>
                <w:rFonts w:ascii="Arial" w:hAnsi="Arial" w:cs="Arial"/>
                <w:sz w:val="18"/>
                <w:szCs w:val="18"/>
              </w:rPr>
              <w:t>21,010</w:t>
            </w:r>
          </w:p>
        </w:tc>
        <w:tc>
          <w:tcPr>
            <w:tcW w:w="1080" w:type="dxa"/>
            <w:vAlign w:val="center"/>
          </w:tcPr>
          <w:p w14:paraId="2D9AB2FC" w14:textId="158B4AAF" w:rsidR="008B4D33" w:rsidRPr="00144396" w:rsidRDefault="008B4D33" w:rsidP="00221B2E">
            <w:pPr>
              <w:pStyle w:val="NormalWeb"/>
              <w:keepLines/>
              <w:jc w:val="right"/>
              <w:rPr>
                <w:rFonts w:ascii="Arial" w:hAnsi="Arial" w:cs="Arial"/>
                <w:sz w:val="18"/>
                <w:szCs w:val="18"/>
              </w:rPr>
            </w:pPr>
            <w:r>
              <w:rPr>
                <w:rFonts w:ascii="Arial" w:hAnsi="Arial" w:cs="Arial"/>
                <w:sz w:val="18"/>
                <w:szCs w:val="18"/>
              </w:rPr>
              <w:t>23,559</w:t>
            </w:r>
          </w:p>
        </w:tc>
        <w:tc>
          <w:tcPr>
            <w:tcW w:w="1080" w:type="dxa"/>
            <w:vAlign w:val="center"/>
          </w:tcPr>
          <w:p w14:paraId="22D131CF" w14:textId="7BDD4197" w:rsidR="008B4D33" w:rsidRPr="00144396" w:rsidRDefault="008B4D33" w:rsidP="00221B2E">
            <w:pPr>
              <w:keepLines/>
              <w:jc w:val="right"/>
              <w:rPr>
                <w:rFonts w:ascii="Arial" w:hAnsi="Arial" w:cs="Arial"/>
                <w:sz w:val="18"/>
                <w:szCs w:val="18"/>
              </w:rPr>
            </w:pPr>
            <w:r>
              <w:rPr>
                <w:rFonts w:ascii="Arial" w:hAnsi="Arial" w:cs="Arial"/>
                <w:sz w:val="18"/>
                <w:szCs w:val="18"/>
              </w:rPr>
              <w:t>28,821</w:t>
            </w:r>
          </w:p>
        </w:tc>
        <w:tc>
          <w:tcPr>
            <w:tcW w:w="1080" w:type="dxa"/>
            <w:vAlign w:val="center"/>
          </w:tcPr>
          <w:p w14:paraId="4E7097E2" w14:textId="1E457CBF" w:rsidR="008B4D33" w:rsidRPr="00144396" w:rsidRDefault="008B4D33" w:rsidP="00221B2E">
            <w:pPr>
              <w:pStyle w:val="NormalWeb"/>
              <w:keepLines/>
              <w:jc w:val="right"/>
              <w:rPr>
                <w:rFonts w:ascii="Arial" w:hAnsi="Arial" w:cs="Arial"/>
                <w:sz w:val="18"/>
                <w:szCs w:val="18"/>
              </w:rPr>
            </w:pPr>
            <w:r>
              <w:rPr>
                <w:rFonts w:ascii="Arial" w:hAnsi="Arial" w:cs="Arial"/>
                <w:sz w:val="18"/>
                <w:szCs w:val="18"/>
              </w:rPr>
              <w:t>30,375</w:t>
            </w:r>
          </w:p>
        </w:tc>
        <w:tc>
          <w:tcPr>
            <w:tcW w:w="907" w:type="dxa"/>
            <w:vAlign w:val="center"/>
          </w:tcPr>
          <w:p w14:paraId="507F9018" w14:textId="1D4BDCAA" w:rsidR="008B4D33" w:rsidRPr="00144396" w:rsidRDefault="008B4D33" w:rsidP="00221B2E">
            <w:pPr>
              <w:keepLines/>
              <w:jc w:val="right"/>
              <w:rPr>
                <w:rFonts w:ascii="Arial" w:hAnsi="Arial" w:cs="Arial"/>
                <w:sz w:val="18"/>
                <w:szCs w:val="18"/>
              </w:rPr>
            </w:pPr>
            <w:r>
              <w:rPr>
                <w:rFonts w:ascii="Arial" w:hAnsi="Arial" w:cs="Arial"/>
                <w:sz w:val="18"/>
                <w:szCs w:val="18"/>
              </w:rPr>
              <w:t>+45%</w:t>
            </w:r>
          </w:p>
        </w:tc>
        <w:tc>
          <w:tcPr>
            <w:tcW w:w="1080" w:type="dxa"/>
            <w:vAlign w:val="center"/>
          </w:tcPr>
          <w:p w14:paraId="48C7BE23" w14:textId="61CD1BC8" w:rsidR="008B4D33" w:rsidRPr="00144396" w:rsidRDefault="008B4D33" w:rsidP="00221B2E">
            <w:pPr>
              <w:keepLines/>
              <w:jc w:val="right"/>
              <w:rPr>
                <w:rFonts w:ascii="Arial" w:hAnsi="Arial" w:cs="Arial"/>
                <w:sz w:val="18"/>
                <w:szCs w:val="18"/>
              </w:rPr>
            </w:pPr>
            <w:r>
              <w:rPr>
                <w:rFonts w:ascii="Arial" w:hAnsi="Arial" w:cs="Arial"/>
                <w:sz w:val="18"/>
                <w:szCs w:val="18"/>
              </w:rPr>
              <w:t>33,163</w:t>
            </w:r>
          </w:p>
        </w:tc>
        <w:tc>
          <w:tcPr>
            <w:tcW w:w="1080" w:type="dxa"/>
            <w:vAlign w:val="center"/>
          </w:tcPr>
          <w:p w14:paraId="31D62141" w14:textId="77253247" w:rsidR="008B4D33" w:rsidRPr="00144396" w:rsidRDefault="008B4D33" w:rsidP="00221B2E">
            <w:pPr>
              <w:keepLines/>
              <w:jc w:val="right"/>
              <w:rPr>
                <w:rFonts w:ascii="Arial" w:hAnsi="Arial" w:cs="Arial"/>
                <w:sz w:val="18"/>
                <w:szCs w:val="18"/>
              </w:rPr>
            </w:pPr>
            <w:r>
              <w:rPr>
                <w:rFonts w:ascii="Arial" w:hAnsi="Arial" w:cs="Arial"/>
                <w:sz w:val="18"/>
                <w:szCs w:val="18"/>
              </w:rPr>
              <w:t>35,398</w:t>
            </w:r>
          </w:p>
        </w:tc>
      </w:tr>
      <w:tr w:rsidR="008B4D33" w:rsidRPr="00C40AE3" w14:paraId="010ECE4D" w14:textId="77777777" w:rsidTr="00B04EE4">
        <w:trPr>
          <w:cantSplit/>
          <w:trHeight w:val="350"/>
        </w:trPr>
        <w:tc>
          <w:tcPr>
            <w:tcW w:w="1728" w:type="dxa"/>
            <w:vAlign w:val="center"/>
          </w:tcPr>
          <w:p w14:paraId="1F5A446F" w14:textId="01A1C044" w:rsidR="008B4D33" w:rsidRPr="00144396" w:rsidRDefault="008B4D33" w:rsidP="00221B2E">
            <w:pPr>
              <w:pStyle w:val="NormalWeb"/>
              <w:keepLines/>
              <w:jc w:val="right"/>
              <w:rPr>
                <w:rFonts w:ascii="Arial" w:hAnsi="Arial" w:cs="Arial"/>
                <w:b/>
                <w:bCs/>
                <w:sz w:val="18"/>
                <w:szCs w:val="18"/>
              </w:rPr>
            </w:pPr>
            <w:r>
              <w:rPr>
                <w:rFonts w:ascii="Arial" w:hAnsi="Arial" w:cs="Arial"/>
                <w:b/>
                <w:bCs/>
                <w:sz w:val="18"/>
                <w:szCs w:val="18"/>
              </w:rPr>
              <w:t>Ypsilanti Township</w:t>
            </w:r>
          </w:p>
        </w:tc>
        <w:tc>
          <w:tcPr>
            <w:tcW w:w="1073" w:type="dxa"/>
            <w:vAlign w:val="center"/>
          </w:tcPr>
          <w:p w14:paraId="65000BBF" w14:textId="79EE1476" w:rsidR="008B4D33" w:rsidRPr="00144396" w:rsidRDefault="008B4D33" w:rsidP="00221B2E">
            <w:pPr>
              <w:pStyle w:val="NormalWeb"/>
              <w:keepLines/>
              <w:jc w:val="right"/>
              <w:rPr>
                <w:rFonts w:ascii="Arial" w:hAnsi="Arial" w:cs="Arial"/>
                <w:sz w:val="18"/>
                <w:szCs w:val="18"/>
              </w:rPr>
            </w:pPr>
            <w:r>
              <w:rPr>
                <w:rFonts w:ascii="Arial" w:hAnsi="Arial" w:cs="Arial"/>
                <w:sz w:val="18"/>
                <w:szCs w:val="18"/>
              </w:rPr>
              <w:t>45,307</w:t>
            </w:r>
          </w:p>
        </w:tc>
        <w:tc>
          <w:tcPr>
            <w:tcW w:w="1080" w:type="dxa"/>
            <w:vAlign w:val="center"/>
          </w:tcPr>
          <w:p w14:paraId="4DCF8BC8" w14:textId="34BE9D70" w:rsidR="008B4D33" w:rsidRPr="00144396" w:rsidRDefault="008B4D33" w:rsidP="00221B2E">
            <w:pPr>
              <w:pStyle w:val="NormalWeb"/>
              <w:keepLines/>
              <w:jc w:val="right"/>
              <w:rPr>
                <w:rFonts w:ascii="Arial" w:hAnsi="Arial" w:cs="Arial"/>
                <w:sz w:val="18"/>
                <w:szCs w:val="18"/>
              </w:rPr>
            </w:pPr>
            <w:r>
              <w:rPr>
                <w:rFonts w:ascii="Arial" w:hAnsi="Arial" w:cs="Arial"/>
                <w:sz w:val="18"/>
                <w:szCs w:val="18"/>
              </w:rPr>
              <w:t>49,182</w:t>
            </w:r>
          </w:p>
        </w:tc>
        <w:tc>
          <w:tcPr>
            <w:tcW w:w="1080" w:type="dxa"/>
            <w:vAlign w:val="center"/>
          </w:tcPr>
          <w:p w14:paraId="2E3258FD" w14:textId="09F5D3E6" w:rsidR="008B4D33" w:rsidRPr="00144396" w:rsidRDefault="008B4D33" w:rsidP="00221B2E">
            <w:pPr>
              <w:keepLines/>
              <w:jc w:val="right"/>
              <w:rPr>
                <w:rFonts w:ascii="Arial" w:hAnsi="Arial" w:cs="Arial"/>
                <w:sz w:val="18"/>
                <w:szCs w:val="18"/>
              </w:rPr>
            </w:pPr>
            <w:r>
              <w:rPr>
                <w:rFonts w:ascii="Arial" w:hAnsi="Arial" w:cs="Arial"/>
                <w:sz w:val="18"/>
                <w:szCs w:val="18"/>
              </w:rPr>
              <w:t>53,362</w:t>
            </w:r>
          </w:p>
        </w:tc>
        <w:tc>
          <w:tcPr>
            <w:tcW w:w="1080" w:type="dxa"/>
            <w:vAlign w:val="center"/>
          </w:tcPr>
          <w:p w14:paraId="5C8CB9E0" w14:textId="4195DD14" w:rsidR="008B4D33" w:rsidRPr="00144396" w:rsidRDefault="008B4D33" w:rsidP="00221B2E">
            <w:pPr>
              <w:pStyle w:val="NormalWeb"/>
              <w:keepLines/>
              <w:jc w:val="right"/>
              <w:rPr>
                <w:rFonts w:ascii="Arial" w:hAnsi="Arial" w:cs="Arial"/>
                <w:sz w:val="18"/>
                <w:szCs w:val="18"/>
              </w:rPr>
            </w:pPr>
            <w:r>
              <w:rPr>
                <w:rFonts w:ascii="Arial" w:hAnsi="Arial" w:cs="Arial"/>
                <w:sz w:val="18"/>
                <w:szCs w:val="18"/>
              </w:rPr>
              <w:t>55,670</w:t>
            </w:r>
          </w:p>
        </w:tc>
        <w:tc>
          <w:tcPr>
            <w:tcW w:w="907" w:type="dxa"/>
            <w:vAlign w:val="center"/>
          </w:tcPr>
          <w:p w14:paraId="1DC3A9A8" w14:textId="7E4B7B9A" w:rsidR="008B4D33" w:rsidRPr="00144396" w:rsidRDefault="008B4D33" w:rsidP="00221B2E">
            <w:pPr>
              <w:keepLines/>
              <w:jc w:val="right"/>
              <w:rPr>
                <w:rFonts w:ascii="Arial" w:hAnsi="Arial" w:cs="Arial"/>
                <w:sz w:val="18"/>
                <w:szCs w:val="18"/>
              </w:rPr>
            </w:pPr>
            <w:r>
              <w:rPr>
                <w:rFonts w:ascii="Arial" w:hAnsi="Arial" w:cs="Arial"/>
                <w:sz w:val="18"/>
                <w:szCs w:val="18"/>
              </w:rPr>
              <w:t>+23%</w:t>
            </w:r>
          </w:p>
        </w:tc>
        <w:tc>
          <w:tcPr>
            <w:tcW w:w="1080" w:type="dxa"/>
            <w:vAlign w:val="center"/>
          </w:tcPr>
          <w:p w14:paraId="76505F5B" w14:textId="399CF920" w:rsidR="008B4D33" w:rsidRPr="00144396" w:rsidRDefault="008B4D33" w:rsidP="00221B2E">
            <w:pPr>
              <w:keepLines/>
              <w:jc w:val="right"/>
              <w:rPr>
                <w:rFonts w:ascii="Arial" w:hAnsi="Arial" w:cs="Arial"/>
                <w:sz w:val="18"/>
                <w:szCs w:val="18"/>
              </w:rPr>
            </w:pPr>
            <w:r>
              <w:rPr>
                <w:rFonts w:ascii="Arial" w:hAnsi="Arial" w:cs="Arial"/>
                <w:sz w:val="18"/>
                <w:szCs w:val="18"/>
              </w:rPr>
              <w:t>56,198</w:t>
            </w:r>
          </w:p>
        </w:tc>
        <w:tc>
          <w:tcPr>
            <w:tcW w:w="1080" w:type="dxa"/>
            <w:vAlign w:val="center"/>
          </w:tcPr>
          <w:p w14:paraId="04671149" w14:textId="6F8D7155" w:rsidR="008B4D33" w:rsidRPr="00144396" w:rsidRDefault="008B4D33" w:rsidP="00221B2E">
            <w:pPr>
              <w:keepLines/>
              <w:jc w:val="right"/>
              <w:rPr>
                <w:rFonts w:ascii="Arial" w:hAnsi="Arial" w:cs="Arial"/>
                <w:sz w:val="18"/>
                <w:szCs w:val="18"/>
              </w:rPr>
            </w:pPr>
            <w:r>
              <w:rPr>
                <w:rFonts w:ascii="Arial" w:hAnsi="Arial" w:cs="Arial"/>
                <w:sz w:val="18"/>
                <w:szCs w:val="18"/>
              </w:rPr>
              <w:t>60,371</w:t>
            </w:r>
          </w:p>
        </w:tc>
      </w:tr>
      <w:tr w:rsidR="008B4D33" w:rsidRPr="00C40AE3" w14:paraId="61700225" w14:textId="77777777" w:rsidTr="004550E3">
        <w:trPr>
          <w:cantSplit/>
          <w:trHeight w:val="350"/>
        </w:trPr>
        <w:tc>
          <w:tcPr>
            <w:tcW w:w="1728" w:type="dxa"/>
            <w:tcBorders>
              <w:bottom w:val="single" w:sz="4" w:space="0" w:color="auto"/>
            </w:tcBorders>
            <w:vAlign w:val="center"/>
          </w:tcPr>
          <w:p w14:paraId="7241B3B2" w14:textId="63FFEA7D" w:rsidR="008B4D33" w:rsidRDefault="008B4D33" w:rsidP="00F95C98">
            <w:pPr>
              <w:pStyle w:val="NormalWeb"/>
              <w:keepLines/>
              <w:jc w:val="right"/>
              <w:rPr>
                <w:rFonts w:ascii="Arial" w:hAnsi="Arial" w:cs="Arial"/>
                <w:b/>
                <w:bCs/>
                <w:sz w:val="18"/>
                <w:szCs w:val="18"/>
              </w:rPr>
            </w:pPr>
            <w:r>
              <w:rPr>
                <w:rFonts w:ascii="Arial" w:hAnsi="Arial" w:cs="Arial"/>
                <w:b/>
                <w:bCs/>
                <w:sz w:val="18"/>
                <w:szCs w:val="18"/>
              </w:rPr>
              <w:t>Total of Cities and Townships</w:t>
            </w:r>
          </w:p>
        </w:tc>
        <w:tc>
          <w:tcPr>
            <w:tcW w:w="1073" w:type="dxa"/>
            <w:tcBorders>
              <w:bottom w:val="single" w:sz="4" w:space="0" w:color="auto"/>
            </w:tcBorders>
            <w:vAlign w:val="center"/>
          </w:tcPr>
          <w:p w14:paraId="5D97A6FA" w14:textId="1E285D00" w:rsidR="008B4D33" w:rsidRDefault="008B4D33" w:rsidP="00F95C98">
            <w:pPr>
              <w:pStyle w:val="NormalWeb"/>
              <w:keepLines/>
              <w:jc w:val="right"/>
              <w:rPr>
                <w:rFonts w:ascii="Arial" w:hAnsi="Arial" w:cs="Arial"/>
                <w:sz w:val="18"/>
                <w:szCs w:val="18"/>
              </w:rPr>
            </w:pPr>
            <w:r>
              <w:rPr>
                <w:rFonts w:ascii="Arial" w:hAnsi="Arial" w:cs="Arial"/>
                <w:sz w:val="18"/>
                <w:szCs w:val="18"/>
              </w:rPr>
              <w:t>103,153</w:t>
            </w:r>
          </w:p>
        </w:tc>
        <w:tc>
          <w:tcPr>
            <w:tcW w:w="1080" w:type="dxa"/>
            <w:tcBorders>
              <w:bottom w:val="single" w:sz="4" w:space="0" w:color="auto"/>
            </w:tcBorders>
            <w:vAlign w:val="center"/>
          </w:tcPr>
          <w:p w14:paraId="1DEDB3A4" w14:textId="683566D8" w:rsidR="008B4D33" w:rsidRDefault="008B4D33" w:rsidP="00F95C98">
            <w:pPr>
              <w:pStyle w:val="NormalWeb"/>
              <w:keepLines/>
              <w:jc w:val="right"/>
              <w:rPr>
                <w:rFonts w:ascii="Arial" w:hAnsi="Arial" w:cs="Arial"/>
                <w:sz w:val="18"/>
                <w:szCs w:val="18"/>
              </w:rPr>
            </w:pPr>
            <w:r>
              <w:rPr>
                <w:rFonts w:ascii="Arial" w:hAnsi="Arial" w:cs="Arial"/>
                <w:sz w:val="18"/>
                <w:szCs w:val="18"/>
              </w:rPr>
              <w:t>109,715</w:t>
            </w:r>
          </w:p>
        </w:tc>
        <w:tc>
          <w:tcPr>
            <w:tcW w:w="1080" w:type="dxa"/>
            <w:tcBorders>
              <w:bottom w:val="single" w:sz="4" w:space="0" w:color="auto"/>
            </w:tcBorders>
            <w:vAlign w:val="center"/>
          </w:tcPr>
          <w:p w14:paraId="431166DB" w14:textId="095481B7" w:rsidR="008B4D33" w:rsidRDefault="008B4D33" w:rsidP="00F95C98">
            <w:pPr>
              <w:keepLines/>
              <w:jc w:val="right"/>
              <w:rPr>
                <w:rFonts w:ascii="Arial" w:hAnsi="Arial" w:cs="Arial"/>
                <w:sz w:val="18"/>
                <w:szCs w:val="18"/>
              </w:rPr>
            </w:pPr>
            <w:r>
              <w:rPr>
                <w:rFonts w:ascii="Arial" w:hAnsi="Arial" w:cs="Arial"/>
                <w:sz w:val="18"/>
                <w:szCs w:val="18"/>
              </w:rPr>
              <w:t>118,667</w:t>
            </w:r>
          </w:p>
        </w:tc>
        <w:tc>
          <w:tcPr>
            <w:tcW w:w="1080" w:type="dxa"/>
            <w:tcBorders>
              <w:bottom w:val="single" w:sz="4" w:space="0" w:color="auto"/>
            </w:tcBorders>
            <w:vAlign w:val="center"/>
          </w:tcPr>
          <w:p w14:paraId="0DA3B5F4" w14:textId="3E45B355" w:rsidR="008B4D33" w:rsidRDefault="008B4D33" w:rsidP="00F95C98">
            <w:pPr>
              <w:pStyle w:val="NormalWeb"/>
              <w:keepLines/>
              <w:jc w:val="right"/>
              <w:rPr>
                <w:rFonts w:ascii="Arial" w:hAnsi="Arial" w:cs="Arial"/>
                <w:sz w:val="18"/>
                <w:szCs w:val="18"/>
              </w:rPr>
            </w:pPr>
            <w:r>
              <w:rPr>
                <w:rFonts w:ascii="Arial" w:hAnsi="Arial" w:cs="Arial"/>
                <w:sz w:val="18"/>
                <w:szCs w:val="18"/>
              </w:rPr>
              <w:t>125,533</w:t>
            </w:r>
          </w:p>
        </w:tc>
        <w:tc>
          <w:tcPr>
            <w:tcW w:w="907" w:type="dxa"/>
            <w:tcBorders>
              <w:bottom w:val="single" w:sz="4" w:space="0" w:color="auto"/>
            </w:tcBorders>
            <w:vAlign w:val="center"/>
          </w:tcPr>
          <w:p w14:paraId="5C8815AD" w14:textId="6BEBB2AC" w:rsidR="008B4D33" w:rsidRDefault="008B4D33" w:rsidP="00F95C98">
            <w:pPr>
              <w:keepLines/>
              <w:jc w:val="right"/>
              <w:rPr>
                <w:rFonts w:ascii="Arial" w:hAnsi="Arial" w:cs="Arial"/>
                <w:sz w:val="18"/>
                <w:szCs w:val="18"/>
              </w:rPr>
            </w:pPr>
            <w:r>
              <w:rPr>
                <w:rFonts w:ascii="Arial" w:hAnsi="Arial" w:cs="Arial"/>
                <w:sz w:val="18"/>
                <w:szCs w:val="18"/>
              </w:rPr>
              <w:t>+22%</w:t>
            </w:r>
          </w:p>
        </w:tc>
        <w:tc>
          <w:tcPr>
            <w:tcW w:w="1080" w:type="dxa"/>
            <w:tcBorders>
              <w:bottom w:val="single" w:sz="4" w:space="0" w:color="auto"/>
            </w:tcBorders>
            <w:vAlign w:val="center"/>
          </w:tcPr>
          <w:p w14:paraId="6BB464FD" w14:textId="18273D5B" w:rsidR="008B4D33" w:rsidRDefault="008B4D33" w:rsidP="00F95C98">
            <w:pPr>
              <w:keepLines/>
              <w:jc w:val="right"/>
              <w:rPr>
                <w:rFonts w:ascii="Arial" w:hAnsi="Arial" w:cs="Arial"/>
                <w:sz w:val="18"/>
                <w:szCs w:val="18"/>
              </w:rPr>
            </w:pPr>
            <w:r>
              <w:rPr>
                <w:rFonts w:ascii="Arial" w:hAnsi="Arial" w:cs="Arial"/>
                <w:sz w:val="18"/>
                <w:szCs w:val="18"/>
              </w:rPr>
              <w:t>132,671</w:t>
            </w:r>
          </w:p>
        </w:tc>
        <w:tc>
          <w:tcPr>
            <w:tcW w:w="1080" w:type="dxa"/>
            <w:tcBorders>
              <w:bottom w:val="single" w:sz="4" w:space="0" w:color="auto"/>
            </w:tcBorders>
            <w:vAlign w:val="center"/>
          </w:tcPr>
          <w:p w14:paraId="02932145" w14:textId="1FE4B418" w:rsidR="008B4D33" w:rsidRDefault="008B4D33" w:rsidP="00F95C98">
            <w:pPr>
              <w:keepLines/>
              <w:jc w:val="right"/>
              <w:rPr>
                <w:rFonts w:ascii="Arial" w:hAnsi="Arial" w:cs="Arial"/>
                <w:sz w:val="18"/>
                <w:szCs w:val="18"/>
              </w:rPr>
            </w:pPr>
            <w:r>
              <w:rPr>
                <w:rFonts w:ascii="Arial" w:hAnsi="Arial" w:cs="Arial"/>
                <w:sz w:val="18"/>
                <w:szCs w:val="18"/>
              </w:rPr>
              <w:t>142,472</w:t>
            </w:r>
          </w:p>
        </w:tc>
      </w:tr>
      <w:tr w:rsidR="008B4D33" w:rsidRPr="00C40AE3" w14:paraId="533C55EA" w14:textId="77777777" w:rsidTr="004550E3">
        <w:trPr>
          <w:cantSplit/>
          <w:trHeight w:val="350"/>
        </w:trPr>
        <w:tc>
          <w:tcPr>
            <w:tcW w:w="1728" w:type="dxa"/>
            <w:tcBorders>
              <w:left w:val="nil"/>
              <w:right w:val="nil"/>
            </w:tcBorders>
            <w:vAlign w:val="center"/>
          </w:tcPr>
          <w:p w14:paraId="12E82987" w14:textId="77777777" w:rsidR="008B4D33" w:rsidRDefault="008B4D33" w:rsidP="00F95C98">
            <w:pPr>
              <w:pStyle w:val="NormalWeb"/>
              <w:keepLines/>
              <w:jc w:val="right"/>
              <w:rPr>
                <w:rFonts w:ascii="Arial" w:hAnsi="Arial" w:cs="Arial"/>
                <w:b/>
                <w:bCs/>
                <w:sz w:val="18"/>
                <w:szCs w:val="18"/>
              </w:rPr>
            </w:pPr>
          </w:p>
        </w:tc>
        <w:tc>
          <w:tcPr>
            <w:tcW w:w="1073" w:type="dxa"/>
            <w:tcBorders>
              <w:left w:val="nil"/>
              <w:right w:val="nil"/>
            </w:tcBorders>
            <w:vAlign w:val="center"/>
          </w:tcPr>
          <w:p w14:paraId="6F8DD7C9" w14:textId="77777777" w:rsidR="008B4D33" w:rsidRDefault="008B4D33" w:rsidP="00F95C98">
            <w:pPr>
              <w:pStyle w:val="NormalWeb"/>
              <w:keepLines/>
              <w:jc w:val="right"/>
              <w:rPr>
                <w:rFonts w:ascii="Arial" w:hAnsi="Arial" w:cs="Arial"/>
                <w:sz w:val="18"/>
                <w:szCs w:val="18"/>
              </w:rPr>
            </w:pPr>
          </w:p>
        </w:tc>
        <w:tc>
          <w:tcPr>
            <w:tcW w:w="1080" w:type="dxa"/>
            <w:tcBorders>
              <w:left w:val="nil"/>
              <w:right w:val="nil"/>
            </w:tcBorders>
            <w:vAlign w:val="center"/>
          </w:tcPr>
          <w:p w14:paraId="2F9C3F9E" w14:textId="77777777" w:rsidR="008B4D33" w:rsidRDefault="008B4D33" w:rsidP="00F95C98">
            <w:pPr>
              <w:pStyle w:val="NormalWeb"/>
              <w:keepLines/>
              <w:jc w:val="right"/>
              <w:rPr>
                <w:rFonts w:ascii="Arial" w:hAnsi="Arial" w:cs="Arial"/>
                <w:sz w:val="18"/>
                <w:szCs w:val="18"/>
              </w:rPr>
            </w:pPr>
          </w:p>
        </w:tc>
        <w:tc>
          <w:tcPr>
            <w:tcW w:w="1080" w:type="dxa"/>
            <w:tcBorders>
              <w:left w:val="nil"/>
              <w:right w:val="nil"/>
            </w:tcBorders>
            <w:vAlign w:val="center"/>
          </w:tcPr>
          <w:p w14:paraId="18416525" w14:textId="77777777" w:rsidR="008B4D33" w:rsidRDefault="008B4D33" w:rsidP="00F95C98">
            <w:pPr>
              <w:keepLines/>
              <w:jc w:val="right"/>
              <w:rPr>
                <w:rFonts w:ascii="Arial" w:hAnsi="Arial" w:cs="Arial"/>
                <w:sz w:val="18"/>
                <w:szCs w:val="18"/>
              </w:rPr>
            </w:pPr>
          </w:p>
        </w:tc>
        <w:tc>
          <w:tcPr>
            <w:tcW w:w="1080" w:type="dxa"/>
            <w:tcBorders>
              <w:left w:val="nil"/>
              <w:right w:val="nil"/>
            </w:tcBorders>
            <w:vAlign w:val="center"/>
          </w:tcPr>
          <w:p w14:paraId="1FD200A1" w14:textId="77777777" w:rsidR="008B4D33" w:rsidRDefault="008B4D33" w:rsidP="00F95C98">
            <w:pPr>
              <w:pStyle w:val="NormalWeb"/>
              <w:keepLines/>
              <w:jc w:val="right"/>
              <w:rPr>
                <w:rFonts w:ascii="Arial" w:hAnsi="Arial" w:cs="Arial"/>
                <w:sz w:val="18"/>
                <w:szCs w:val="18"/>
              </w:rPr>
            </w:pPr>
          </w:p>
        </w:tc>
        <w:tc>
          <w:tcPr>
            <w:tcW w:w="907" w:type="dxa"/>
            <w:tcBorders>
              <w:left w:val="nil"/>
              <w:right w:val="nil"/>
            </w:tcBorders>
            <w:vAlign w:val="center"/>
          </w:tcPr>
          <w:p w14:paraId="566EDF34" w14:textId="77777777" w:rsidR="008B4D33" w:rsidRDefault="008B4D33" w:rsidP="00F95C98">
            <w:pPr>
              <w:keepLines/>
              <w:jc w:val="right"/>
              <w:rPr>
                <w:rFonts w:ascii="Arial" w:hAnsi="Arial" w:cs="Arial"/>
                <w:sz w:val="18"/>
                <w:szCs w:val="18"/>
              </w:rPr>
            </w:pPr>
          </w:p>
        </w:tc>
        <w:tc>
          <w:tcPr>
            <w:tcW w:w="1080" w:type="dxa"/>
            <w:tcBorders>
              <w:left w:val="nil"/>
              <w:right w:val="nil"/>
            </w:tcBorders>
            <w:vAlign w:val="center"/>
          </w:tcPr>
          <w:p w14:paraId="7675A900" w14:textId="77777777" w:rsidR="008B4D33" w:rsidRDefault="008B4D33" w:rsidP="00F95C98">
            <w:pPr>
              <w:keepLines/>
              <w:jc w:val="right"/>
              <w:rPr>
                <w:rFonts w:ascii="Arial" w:hAnsi="Arial" w:cs="Arial"/>
                <w:sz w:val="18"/>
                <w:szCs w:val="18"/>
              </w:rPr>
            </w:pPr>
          </w:p>
        </w:tc>
        <w:tc>
          <w:tcPr>
            <w:tcW w:w="1080" w:type="dxa"/>
            <w:tcBorders>
              <w:left w:val="nil"/>
              <w:right w:val="nil"/>
            </w:tcBorders>
            <w:vAlign w:val="center"/>
          </w:tcPr>
          <w:p w14:paraId="1AE16069" w14:textId="77777777" w:rsidR="008B4D33" w:rsidRDefault="008B4D33" w:rsidP="00F95C98">
            <w:pPr>
              <w:keepLines/>
              <w:jc w:val="right"/>
              <w:rPr>
                <w:rFonts w:ascii="Arial" w:hAnsi="Arial" w:cs="Arial"/>
                <w:sz w:val="18"/>
                <w:szCs w:val="18"/>
              </w:rPr>
            </w:pPr>
          </w:p>
        </w:tc>
      </w:tr>
      <w:tr w:rsidR="008B4D33" w:rsidRPr="00C40AE3" w14:paraId="6BB4BB02" w14:textId="77777777" w:rsidTr="00B04EE4">
        <w:trPr>
          <w:cantSplit/>
          <w:trHeight w:val="350"/>
        </w:trPr>
        <w:tc>
          <w:tcPr>
            <w:tcW w:w="1728" w:type="dxa"/>
            <w:vAlign w:val="center"/>
          </w:tcPr>
          <w:p w14:paraId="300D1CF7" w14:textId="2C8C2B8C" w:rsidR="008B4D33" w:rsidRPr="00144396" w:rsidRDefault="008B4D33" w:rsidP="00F95C98">
            <w:pPr>
              <w:pStyle w:val="NormalWeb"/>
              <w:keepLines/>
              <w:jc w:val="right"/>
              <w:rPr>
                <w:rFonts w:ascii="Arial" w:hAnsi="Arial" w:cs="Arial"/>
                <w:b/>
                <w:bCs/>
                <w:sz w:val="18"/>
                <w:szCs w:val="18"/>
              </w:rPr>
            </w:pPr>
            <w:r>
              <w:rPr>
                <w:rFonts w:ascii="Arial" w:hAnsi="Arial" w:cs="Arial"/>
                <w:b/>
                <w:bCs/>
                <w:sz w:val="18"/>
                <w:szCs w:val="18"/>
              </w:rPr>
              <w:t>Washtenaw County</w:t>
            </w:r>
          </w:p>
        </w:tc>
        <w:tc>
          <w:tcPr>
            <w:tcW w:w="1073" w:type="dxa"/>
            <w:vAlign w:val="center"/>
          </w:tcPr>
          <w:p w14:paraId="021D0408" w14:textId="4F6097BA" w:rsidR="008B4D33" w:rsidRPr="00144396" w:rsidRDefault="008B4D33" w:rsidP="00F95C98">
            <w:pPr>
              <w:pStyle w:val="NormalWeb"/>
              <w:keepLines/>
              <w:jc w:val="right"/>
              <w:rPr>
                <w:rFonts w:ascii="Arial" w:hAnsi="Arial" w:cs="Arial"/>
                <w:sz w:val="18"/>
                <w:szCs w:val="18"/>
              </w:rPr>
            </w:pPr>
            <w:r>
              <w:rPr>
                <w:rFonts w:ascii="Arial" w:hAnsi="Arial" w:cs="Arial"/>
                <w:sz w:val="18"/>
                <w:szCs w:val="18"/>
              </w:rPr>
              <w:t>282,937</w:t>
            </w:r>
          </w:p>
        </w:tc>
        <w:tc>
          <w:tcPr>
            <w:tcW w:w="1080" w:type="dxa"/>
            <w:vAlign w:val="center"/>
          </w:tcPr>
          <w:p w14:paraId="2E304CC9" w14:textId="6B103CDB" w:rsidR="008B4D33" w:rsidRPr="00144396" w:rsidRDefault="008B4D33" w:rsidP="00F95C98">
            <w:pPr>
              <w:pStyle w:val="NormalWeb"/>
              <w:keepLines/>
              <w:jc w:val="right"/>
              <w:rPr>
                <w:rFonts w:ascii="Arial" w:hAnsi="Arial" w:cs="Arial"/>
                <w:sz w:val="18"/>
                <w:szCs w:val="18"/>
              </w:rPr>
            </w:pPr>
            <w:r>
              <w:rPr>
                <w:rFonts w:ascii="Arial" w:hAnsi="Arial" w:cs="Arial"/>
                <w:sz w:val="18"/>
                <w:szCs w:val="18"/>
              </w:rPr>
              <w:t>322,770</w:t>
            </w:r>
          </w:p>
        </w:tc>
        <w:tc>
          <w:tcPr>
            <w:tcW w:w="1080" w:type="dxa"/>
            <w:vAlign w:val="center"/>
          </w:tcPr>
          <w:p w14:paraId="0DFE7AC0" w14:textId="42DFAA46" w:rsidR="008B4D33" w:rsidRPr="00144396" w:rsidRDefault="008B4D33" w:rsidP="00F95C98">
            <w:pPr>
              <w:keepLines/>
              <w:jc w:val="right"/>
              <w:rPr>
                <w:rFonts w:ascii="Arial" w:hAnsi="Arial" w:cs="Arial"/>
                <w:sz w:val="18"/>
                <w:szCs w:val="18"/>
              </w:rPr>
            </w:pPr>
            <w:r>
              <w:rPr>
                <w:rFonts w:ascii="Arial" w:hAnsi="Arial" w:cs="Arial"/>
                <w:sz w:val="18"/>
                <w:szCs w:val="18"/>
              </w:rPr>
              <w:t>344,791</w:t>
            </w:r>
          </w:p>
        </w:tc>
        <w:tc>
          <w:tcPr>
            <w:tcW w:w="1080" w:type="dxa"/>
            <w:vAlign w:val="center"/>
          </w:tcPr>
          <w:p w14:paraId="76B7E1AA" w14:textId="60ABEDB1" w:rsidR="008B4D33" w:rsidRPr="00144396" w:rsidRDefault="008B4D33" w:rsidP="00F95C98">
            <w:pPr>
              <w:pStyle w:val="NormalWeb"/>
              <w:keepLines/>
              <w:jc w:val="right"/>
              <w:rPr>
                <w:rFonts w:ascii="Arial" w:hAnsi="Arial" w:cs="Arial"/>
                <w:sz w:val="18"/>
                <w:szCs w:val="18"/>
              </w:rPr>
            </w:pPr>
            <w:r>
              <w:rPr>
                <w:rFonts w:ascii="Arial" w:hAnsi="Arial" w:cs="Arial"/>
                <w:sz w:val="18"/>
                <w:szCs w:val="18"/>
              </w:rPr>
              <w:t>372,258</w:t>
            </w:r>
          </w:p>
        </w:tc>
        <w:tc>
          <w:tcPr>
            <w:tcW w:w="907" w:type="dxa"/>
            <w:vAlign w:val="center"/>
          </w:tcPr>
          <w:p w14:paraId="07592B03" w14:textId="34938D00" w:rsidR="008B4D33" w:rsidRPr="00144396" w:rsidRDefault="008B4D33" w:rsidP="00F95C98">
            <w:pPr>
              <w:keepLines/>
              <w:jc w:val="right"/>
              <w:rPr>
                <w:rFonts w:ascii="Arial" w:hAnsi="Arial" w:cs="Arial"/>
                <w:sz w:val="18"/>
                <w:szCs w:val="18"/>
              </w:rPr>
            </w:pPr>
            <w:r>
              <w:rPr>
                <w:rFonts w:ascii="Arial" w:hAnsi="Arial" w:cs="Arial"/>
                <w:sz w:val="18"/>
                <w:szCs w:val="18"/>
              </w:rPr>
              <w:t>+32%</w:t>
            </w:r>
          </w:p>
        </w:tc>
        <w:tc>
          <w:tcPr>
            <w:tcW w:w="1080" w:type="dxa"/>
            <w:vAlign w:val="center"/>
          </w:tcPr>
          <w:p w14:paraId="02D3D1B5" w14:textId="7606E96F" w:rsidR="008B4D33" w:rsidRPr="00144396" w:rsidRDefault="008B4D33" w:rsidP="00F95C98">
            <w:pPr>
              <w:keepLines/>
              <w:jc w:val="right"/>
              <w:rPr>
                <w:rFonts w:ascii="Arial" w:hAnsi="Arial" w:cs="Arial"/>
                <w:sz w:val="18"/>
                <w:szCs w:val="18"/>
              </w:rPr>
            </w:pPr>
            <w:r>
              <w:rPr>
                <w:rFonts w:ascii="Arial" w:hAnsi="Arial" w:cs="Arial"/>
                <w:sz w:val="18"/>
                <w:szCs w:val="18"/>
              </w:rPr>
              <w:t>415,606</w:t>
            </w:r>
          </w:p>
        </w:tc>
        <w:tc>
          <w:tcPr>
            <w:tcW w:w="1080" w:type="dxa"/>
            <w:vAlign w:val="center"/>
          </w:tcPr>
          <w:p w14:paraId="1320C866" w14:textId="3AC4CDBA" w:rsidR="008B4D33" w:rsidRPr="00144396" w:rsidRDefault="008B4D33" w:rsidP="00F95C98">
            <w:pPr>
              <w:keepLines/>
              <w:jc w:val="right"/>
              <w:rPr>
                <w:rFonts w:ascii="Arial" w:hAnsi="Arial" w:cs="Arial"/>
                <w:sz w:val="18"/>
                <w:szCs w:val="18"/>
              </w:rPr>
            </w:pPr>
            <w:r>
              <w:rPr>
                <w:rFonts w:ascii="Arial" w:hAnsi="Arial" w:cs="Arial"/>
                <w:sz w:val="18"/>
                <w:szCs w:val="18"/>
              </w:rPr>
              <w:t>444,139</w:t>
            </w:r>
          </w:p>
        </w:tc>
      </w:tr>
      <w:tr w:rsidR="008B4D33" w:rsidRPr="00C40AE3" w14:paraId="557EEAF7" w14:textId="77777777" w:rsidTr="00B04EE4">
        <w:trPr>
          <w:cantSplit/>
          <w:trHeight w:val="350"/>
        </w:trPr>
        <w:tc>
          <w:tcPr>
            <w:tcW w:w="1728" w:type="dxa"/>
            <w:vAlign w:val="center"/>
          </w:tcPr>
          <w:p w14:paraId="0F773749" w14:textId="7C90D8BB" w:rsidR="008B4D33" w:rsidRPr="00144396" w:rsidRDefault="008B4D33" w:rsidP="00F95C98">
            <w:pPr>
              <w:pStyle w:val="NormalWeb"/>
              <w:keepLines/>
              <w:jc w:val="right"/>
              <w:rPr>
                <w:rFonts w:ascii="Arial" w:hAnsi="Arial" w:cs="Arial"/>
                <w:b/>
                <w:bCs/>
                <w:sz w:val="18"/>
                <w:szCs w:val="18"/>
              </w:rPr>
            </w:pPr>
            <w:r>
              <w:rPr>
                <w:rFonts w:ascii="Arial" w:hAnsi="Arial" w:cs="Arial"/>
                <w:b/>
                <w:bCs/>
                <w:sz w:val="18"/>
                <w:szCs w:val="18"/>
              </w:rPr>
              <w:t>Wayne County (excluding Detroit)</w:t>
            </w:r>
          </w:p>
        </w:tc>
        <w:tc>
          <w:tcPr>
            <w:tcW w:w="1073" w:type="dxa"/>
            <w:vAlign w:val="center"/>
          </w:tcPr>
          <w:p w14:paraId="6B90B339" w14:textId="76544FD6" w:rsidR="008B4D33" w:rsidRPr="00144396" w:rsidRDefault="008B4D33" w:rsidP="00F95C98">
            <w:pPr>
              <w:pStyle w:val="NormalWeb"/>
              <w:keepLines/>
              <w:jc w:val="right"/>
              <w:rPr>
                <w:rFonts w:ascii="Arial" w:hAnsi="Arial" w:cs="Arial"/>
                <w:sz w:val="18"/>
                <w:szCs w:val="18"/>
              </w:rPr>
            </w:pPr>
            <w:r>
              <w:rPr>
                <w:rFonts w:ascii="Arial" w:hAnsi="Arial" w:cs="Arial"/>
                <w:sz w:val="18"/>
                <w:szCs w:val="18"/>
              </w:rPr>
              <w:t>1,083,713</w:t>
            </w:r>
          </w:p>
        </w:tc>
        <w:tc>
          <w:tcPr>
            <w:tcW w:w="1080" w:type="dxa"/>
            <w:vAlign w:val="center"/>
          </w:tcPr>
          <w:p w14:paraId="29388B64" w14:textId="4975FFC6" w:rsidR="008B4D33" w:rsidRPr="00144396" w:rsidRDefault="008B4D33" w:rsidP="00F95C98">
            <w:pPr>
              <w:pStyle w:val="NormalWeb"/>
              <w:keepLines/>
              <w:jc w:val="right"/>
              <w:rPr>
                <w:rFonts w:ascii="Arial" w:hAnsi="Arial" w:cs="Arial"/>
                <w:sz w:val="18"/>
                <w:szCs w:val="18"/>
              </w:rPr>
            </w:pPr>
            <w:r>
              <w:rPr>
                <w:rFonts w:ascii="Arial" w:hAnsi="Arial" w:cs="Arial"/>
                <w:sz w:val="18"/>
                <w:szCs w:val="18"/>
              </w:rPr>
              <w:t>1,109,892</w:t>
            </w:r>
          </w:p>
        </w:tc>
        <w:tc>
          <w:tcPr>
            <w:tcW w:w="1080" w:type="dxa"/>
            <w:vAlign w:val="center"/>
          </w:tcPr>
          <w:p w14:paraId="79485491" w14:textId="495B5E1B" w:rsidR="008B4D33" w:rsidRPr="00144396" w:rsidRDefault="008B4D33" w:rsidP="00F95C98">
            <w:pPr>
              <w:keepLines/>
              <w:jc w:val="right"/>
              <w:rPr>
                <w:rFonts w:ascii="Arial" w:hAnsi="Arial" w:cs="Arial"/>
                <w:sz w:val="18"/>
                <w:szCs w:val="18"/>
              </w:rPr>
            </w:pPr>
            <w:r>
              <w:rPr>
                <w:rFonts w:ascii="Arial" w:hAnsi="Arial" w:cs="Arial"/>
                <w:sz w:val="18"/>
                <w:szCs w:val="18"/>
              </w:rPr>
              <w:t>1,106,788</w:t>
            </w:r>
          </w:p>
        </w:tc>
        <w:tc>
          <w:tcPr>
            <w:tcW w:w="1080" w:type="dxa"/>
            <w:vAlign w:val="center"/>
          </w:tcPr>
          <w:p w14:paraId="66E12553" w14:textId="280F4190" w:rsidR="008B4D33" w:rsidRPr="00144396" w:rsidRDefault="008B4D33" w:rsidP="00F95C98">
            <w:pPr>
              <w:pStyle w:val="NormalWeb"/>
              <w:keepLines/>
              <w:jc w:val="right"/>
              <w:rPr>
                <w:rFonts w:ascii="Arial" w:hAnsi="Arial" w:cs="Arial"/>
                <w:sz w:val="18"/>
                <w:szCs w:val="18"/>
              </w:rPr>
            </w:pPr>
            <w:r>
              <w:rPr>
                <w:rFonts w:ascii="Arial" w:hAnsi="Arial" w:cs="Arial"/>
                <w:sz w:val="18"/>
                <w:szCs w:val="18"/>
              </w:rPr>
              <w:t>1,154,450</w:t>
            </w:r>
          </w:p>
        </w:tc>
        <w:tc>
          <w:tcPr>
            <w:tcW w:w="907" w:type="dxa"/>
            <w:vAlign w:val="center"/>
          </w:tcPr>
          <w:p w14:paraId="6661DBA8" w14:textId="03DE32B2" w:rsidR="008B4D33" w:rsidRPr="00144396" w:rsidRDefault="008B4D33" w:rsidP="00F95C98">
            <w:pPr>
              <w:keepLines/>
              <w:jc w:val="right"/>
              <w:rPr>
                <w:rFonts w:ascii="Arial" w:hAnsi="Arial" w:cs="Arial"/>
                <w:sz w:val="18"/>
                <w:szCs w:val="18"/>
              </w:rPr>
            </w:pPr>
            <w:r>
              <w:rPr>
                <w:rFonts w:ascii="Arial" w:hAnsi="Arial" w:cs="Arial"/>
                <w:sz w:val="18"/>
                <w:szCs w:val="18"/>
              </w:rPr>
              <w:t>+7%</w:t>
            </w:r>
          </w:p>
        </w:tc>
        <w:tc>
          <w:tcPr>
            <w:tcW w:w="1080" w:type="dxa"/>
            <w:vAlign w:val="center"/>
          </w:tcPr>
          <w:p w14:paraId="5334BB8F" w14:textId="7174E9A3" w:rsidR="008B4D33" w:rsidRPr="00144396" w:rsidRDefault="008B4D33" w:rsidP="00F95C98">
            <w:pPr>
              <w:keepLines/>
              <w:jc w:val="right"/>
              <w:rPr>
                <w:rFonts w:ascii="Arial" w:hAnsi="Arial" w:cs="Arial"/>
                <w:sz w:val="18"/>
                <w:szCs w:val="18"/>
              </w:rPr>
            </w:pPr>
            <w:r>
              <w:rPr>
                <w:rFonts w:ascii="Arial" w:hAnsi="Arial" w:cs="Arial"/>
                <w:sz w:val="18"/>
                <w:szCs w:val="18"/>
              </w:rPr>
              <w:t>1,107,172</w:t>
            </w:r>
          </w:p>
        </w:tc>
        <w:tc>
          <w:tcPr>
            <w:tcW w:w="1080" w:type="dxa"/>
            <w:vAlign w:val="center"/>
          </w:tcPr>
          <w:p w14:paraId="290C3CA2" w14:textId="096C8D6C" w:rsidR="008B4D33" w:rsidRPr="00144396" w:rsidRDefault="008B4D33" w:rsidP="00F95C98">
            <w:pPr>
              <w:keepLines/>
              <w:jc w:val="right"/>
              <w:rPr>
                <w:rFonts w:ascii="Arial" w:hAnsi="Arial" w:cs="Arial"/>
                <w:sz w:val="18"/>
                <w:szCs w:val="18"/>
              </w:rPr>
            </w:pPr>
            <w:r>
              <w:rPr>
                <w:rFonts w:ascii="Arial" w:hAnsi="Arial" w:cs="Arial"/>
                <w:sz w:val="18"/>
                <w:szCs w:val="18"/>
              </w:rPr>
              <w:t>1,134,274</w:t>
            </w:r>
          </w:p>
        </w:tc>
      </w:tr>
    </w:tbl>
    <w:p w14:paraId="1BB25686" w14:textId="77777777" w:rsidR="008B4D33" w:rsidRDefault="008B4D33" w:rsidP="006E5D33">
      <w:pPr>
        <w:pStyle w:val="NormalWeb"/>
        <w:spacing w:before="0" w:beforeAutospacing="0" w:after="0" w:afterAutospacing="0"/>
        <w:rPr>
          <w:rFonts w:ascii="Arial" w:hAnsi="Arial" w:cs="Arial"/>
          <w:b/>
          <w:sz w:val="20"/>
          <w:szCs w:val="20"/>
        </w:rPr>
      </w:pPr>
    </w:p>
    <w:p w14:paraId="23AE23C1" w14:textId="77777777" w:rsidR="008B4D33" w:rsidRDefault="008B4D33" w:rsidP="006E5D33">
      <w:pPr>
        <w:pStyle w:val="NormalWeb"/>
        <w:spacing w:before="0" w:beforeAutospacing="0" w:after="0" w:afterAutospacing="0"/>
        <w:rPr>
          <w:rFonts w:ascii="Arial" w:hAnsi="Arial" w:cs="Arial"/>
          <w:i/>
          <w:sz w:val="22"/>
          <w:szCs w:val="22"/>
        </w:rPr>
      </w:pPr>
    </w:p>
    <w:p w14:paraId="6A9E6B1E" w14:textId="77777777" w:rsidR="008B4D33" w:rsidRPr="00C40AE3" w:rsidRDefault="008B4D33" w:rsidP="00BF4377">
      <w:pPr>
        <w:pStyle w:val="WMP-header3"/>
        <w:outlineLvl w:val="2"/>
      </w:pPr>
      <w:bookmarkStart w:id="6" w:name="_Toc105070931"/>
      <w:bookmarkStart w:id="7" w:name="_Toc111629319"/>
      <w:r w:rsidRPr="00C40AE3">
        <w:t>2.2.3</w:t>
      </w:r>
      <w:r>
        <w:t>.</w:t>
      </w:r>
      <w:r w:rsidRPr="00C40AE3">
        <w:t xml:space="preserve"> Land Use and Development</w:t>
      </w:r>
      <w:bookmarkEnd w:id="6"/>
      <w:bookmarkEnd w:id="7"/>
      <w:r w:rsidRPr="00C40AE3">
        <w:t xml:space="preserve"> </w:t>
      </w:r>
    </w:p>
    <w:p w14:paraId="5A804D17" w14:textId="77777777" w:rsidR="008B4D33" w:rsidRPr="001B5012" w:rsidRDefault="008B4D33" w:rsidP="006E5D33">
      <w:pPr>
        <w:pStyle w:val="NormalWeb"/>
        <w:keepLines/>
        <w:tabs>
          <w:tab w:val="left" w:pos="1440"/>
        </w:tabs>
        <w:spacing w:before="0" w:beforeAutospacing="0" w:after="0" w:afterAutospacing="0"/>
        <w:rPr>
          <w:rFonts w:ascii="Arial" w:hAnsi="Arial" w:cs="Arial"/>
          <w:sz w:val="22"/>
          <w:szCs w:val="22"/>
        </w:rPr>
      </w:pPr>
      <w:r w:rsidRPr="001B5012">
        <w:rPr>
          <w:rFonts w:ascii="Arial" w:hAnsi="Arial" w:cs="Arial"/>
          <w:sz w:val="22"/>
          <w:szCs w:val="22"/>
        </w:rPr>
        <w:t xml:space="preserve">As the </w:t>
      </w:r>
      <w:r>
        <w:rPr>
          <w:rFonts w:ascii="Arial" w:hAnsi="Arial" w:cs="Arial"/>
          <w:sz w:val="22"/>
          <w:szCs w:val="22"/>
        </w:rPr>
        <w:t>Watershed’s</w:t>
      </w:r>
      <w:r w:rsidRPr="001B5012">
        <w:rPr>
          <w:rFonts w:ascii="Arial" w:hAnsi="Arial" w:cs="Arial"/>
          <w:sz w:val="22"/>
          <w:szCs w:val="22"/>
        </w:rPr>
        <w:t xml:space="preserve"> communities develop, the potential </w:t>
      </w:r>
      <w:r>
        <w:rPr>
          <w:rFonts w:ascii="Arial" w:hAnsi="Arial" w:cs="Arial"/>
          <w:sz w:val="22"/>
          <w:szCs w:val="22"/>
        </w:rPr>
        <w:t xml:space="preserve">increases </w:t>
      </w:r>
      <w:r w:rsidRPr="001B5012">
        <w:rPr>
          <w:rFonts w:ascii="Arial" w:hAnsi="Arial" w:cs="Arial"/>
          <w:sz w:val="22"/>
          <w:szCs w:val="22"/>
        </w:rPr>
        <w:t>for</w:t>
      </w:r>
      <w:r>
        <w:rPr>
          <w:rFonts w:ascii="Arial" w:hAnsi="Arial" w:cs="Arial"/>
          <w:sz w:val="22"/>
          <w:szCs w:val="22"/>
        </w:rPr>
        <w:t xml:space="preserve"> negative environmental impacts</w:t>
      </w:r>
      <w:r w:rsidRPr="001B5012">
        <w:rPr>
          <w:rFonts w:ascii="Arial" w:hAnsi="Arial" w:cs="Arial"/>
          <w:sz w:val="22"/>
          <w:szCs w:val="22"/>
        </w:rPr>
        <w:t xml:space="preserve">, including water </w:t>
      </w:r>
      <w:r w:rsidRPr="00776BBC">
        <w:rPr>
          <w:rFonts w:ascii="Arial" w:hAnsi="Arial" w:cs="Arial"/>
          <w:sz w:val="22"/>
          <w:szCs w:val="22"/>
        </w:rPr>
        <w:t>quality</w:t>
      </w:r>
      <w:r w:rsidRPr="001B5012">
        <w:rPr>
          <w:rFonts w:ascii="Arial" w:hAnsi="Arial" w:cs="Arial"/>
          <w:sz w:val="22"/>
          <w:szCs w:val="22"/>
        </w:rPr>
        <w:t xml:space="preserve"> impacts from erosion, sedimentation, and increased inputs of stormwater pollutants. Potential impacts on water </w:t>
      </w:r>
      <w:r w:rsidRPr="00153505">
        <w:rPr>
          <w:rFonts w:ascii="Arial" w:hAnsi="Arial" w:cs="Arial"/>
          <w:sz w:val="22"/>
          <w:szCs w:val="22"/>
        </w:rPr>
        <w:t>quantity</w:t>
      </w:r>
      <w:r w:rsidRPr="00524D66">
        <w:rPr>
          <w:rFonts w:ascii="Arial" w:hAnsi="Arial" w:cs="Arial"/>
          <w:sz w:val="22"/>
          <w:szCs w:val="22"/>
        </w:rPr>
        <w:t xml:space="preserve"> </w:t>
      </w:r>
      <w:r w:rsidRPr="001B5012">
        <w:rPr>
          <w:rFonts w:ascii="Arial" w:hAnsi="Arial" w:cs="Arial"/>
          <w:sz w:val="22"/>
          <w:szCs w:val="22"/>
        </w:rPr>
        <w:t xml:space="preserve">also increase as wetlands, woodlands, </w:t>
      </w:r>
      <w:proofErr w:type="gramStart"/>
      <w:r w:rsidRPr="001B5012">
        <w:rPr>
          <w:rFonts w:ascii="Arial" w:hAnsi="Arial" w:cs="Arial"/>
          <w:sz w:val="22"/>
          <w:szCs w:val="22"/>
        </w:rPr>
        <w:t>floodplains</w:t>
      </w:r>
      <w:proofErr w:type="gramEnd"/>
      <w:r w:rsidRPr="001B5012">
        <w:rPr>
          <w:rFonts w:ascii="Arial" w:hAnsi="Arial" w:cs="Arial"/>
          <w:sz w:val="22"/>
          <w:szCs w:val="22"/>
        </w:rPr>
        <w:t xml:space="preserve"> and other natural features that regulate water quantity are altered or replaced with impervious surfaces.   </w:t>
      </w:r>
    </w:p>
    <w:p w14:paraId="071A5A7A" w14:textId="6F6443C5" w:rsidR="008B4D33" w:rsidRDefault="008B4D33" w:rsidP="006E5D33">
      <w:pPr>
        <w:pStyle w:val="NormalWeb"/>
        <w:tabs>
          <w:tab w:val="left" w:pos="1440"/>
        </w:tabs>
        <w:rPr>
          <w:rFonts w:ascii="Arial" w:hAnsi="Arial" w:cs="Arial"/>
          <w:b/>
          <w:bCs/>
          <w:sz w:val="20"/>
          <w:szCs w:val="20"/>
        </w:rPr>
      </w:pPr>
      <w:r w:rsidRPr="001B5012">
        <w:rPr>
          <w:rFonts w:ascii="Arial" w:hAnsi="Arial" w:cs="Arial"/>
          <w:sz w:val="22"/>
          <w:szCs w:val="22"/>
        </w:rPr>
        <w:t xml:space="preserve">Prior to permanent European settlement, </w:t>
      </w:r>
      <w:r>
        <w:rPr>
          <w:rFonts w:ascii="Arial" w:hAnsi="Arial" w:cs="Arial"/>
          <w:sz w:val="22"/>
          <w:szCs w:val="22"/>
        </w:rPr>
        <w:t xml:space="preserve">oak and hickory </w:t>
      </w:r>
      <w:r w:rsidRPr="001B5012">
        <w:rPr>
          <w:rFonts w:ascii="Arial" w:hAnsi="Arial" w:cs="Arial"/>
          <w:sz w:val="22"/>
          <w:szCs w:val="22"/>
        </w:rPr>
        <w:t>forests dominated the</w:t>
      </w:r>
      <w:r>
        <w:rPr>
          <w:rFonts w:ascii="Arial" w:hAnsi="Arial" w:cs="Arial"/>
          <w:sz w:val="22"/>
          <w:szCs w:val="22"/>
        </w:rPr>
        <w:t xml:space="preserve"> upper morainal portion of the </w:t>
      </w:r>
      <w:r w:rsidRPr="001B5012">
        <w:rPr>
          <w:rFonts w:ascii="Arial" w:hAnsi="Arial" w:cs="Arial"/>
          <w:sz w:val="22"/>
          <w:szCs w:val="22"/>
        </w:rPr>
        <w:t>Watershed.  Th</w:t>
      </w:r>
      <w:r>
        <w:rPr>
          <w:rFonts w:ascii="Arial" w:hAnsi="Arial" w:cs="Arial"/>
          <w:sz w:val="22"/>
          <w:szCs w:val="22"/>
        </w:rPr>
        <w:t>is</w:t>
      </w:r>
      <w:r w:rsidRPr="001B5012">
        <w:rPr>
          <w:rFonts w:ascii="Arial" w:hAnsi="Arial" w:cs="Arial"/>
          <w:sz w:val="22"/>
          <w:szCs w:val="22"/>
        </w:rPr>
        <w:t xml:space="preserve"> dominant landscape </w:t>
      </w:r>
      <w:r>
        <w:rPr>
          <w:rFonts w:ascii="Arial" w:hAnsi="Arial" w:cs="Arial"/>
          <w:sz w:val="22"/>
          <w:szCs w:val="22"/>
        </w:rPr>
        <w:t xml:space="preserve">was interspersed </w:t>
      </w:r>
      <w:r w:rsidRPr="001B5012">
        <w:rPr>
          <w:rFonts w:ascii="Arial" w:hAnsi="Arial" w:cs="Arial"/>
          <w:sz w:val="22"/>
          <w:szCs w:val="22"/>
        </w:rPr>
        <w:t xml:space="preserve">with patches of wetlands, such as </w:t>
      </w:r>
      <w:r>
        <w:rPr>
          <w:rFonts w:ascii="Arial" w:hAnsi="Arial" w:cs="Arial"/>
          <w:sz w:val="22"/>
          <w:szCs w:val="22"/>
        </w:rPr>
        <w:t xml:space="preserve">shrub swamps and wet prairie </w:t>
      </w:r>
      <w:r w:rsidRPr="001B5012">
        <w:rPr>
          <w:rFonts w:ascii="Arial" w:hAnsi="Arial" w:cs="Arial"/>
          <w:sz w:val="22"/>
          <w:szCs w:val="22"/>
        </w:rPr>
        <w:t>(Figure 2.</w:t>
      </w:r>
      <w:r w:rsidRPr="00C40AE3">
        <w:rPr>
          <w:rFonts w:ascii="Arial" w:hAnsi="Arial" w:cs="Arial"/>
          <w:sz w:val="22"/>
          <w:szCs w:val="22"/>
        </w:rPr>
        <w:t>1</w:t>
      </w:r>
      <w:r>
        <w:rPr>
          <w:rFonts w:ascii="Arial" w:hAnsi="Arial" w:cs="Arial"/>
          <w:sz w:val="22"/>
          <w:szCs w:val="22"/>
        </w:rPr>
        <w:t>3</w:t>
      </w:r>
      <w:r w:rsidRPr="001B5012">
        <w:rPr>
          <w:rFonts w:ascii="Arial" w:hAnsi="Arial" w:cs="Arial"/>
          <w:sz w:val="22"/>
          <w:szCs w:val="22"/>
        </w:rPr>
        <w:t>).</w:t>
      </w:r>
      <w:r w:rsidRPr="001B5012">
        <w:rPr>
          <w:rFonts w:ascii="Arial" w:hAnsi="Arial" w:cs="Arial"/>
          <w:b/>
          <w:bCs/>
          <w:sz w:val="20"/>
          <w:szCs w:val="20"/>
        </w:rPr>
        <w:t xml:space="preserve"> </w:t>
      </w:r>
    </w:p>
    <w:p w14:paraId="41B22689" w14:textId="09B575B2" w:rsidR="008B4D33" w:rsidRPr="00761435" w:rsidRDefault="008B4D33" w:rsidP="006E5D33">
      <w:pPr>
        <w:pStyle w:val="NormalWeb"/>
        <w:tabs>
          <w:tab w:val="left" w:pos="1440"/>
        </w:tabs>
        <w:rPr>
          <w:rFonts w:ascii="Arial" w:hAnsi="Arial" w:cs="Arial"/>
          <w:sz w:val="22"/>
          <w:szCs w:val="22"/>
        </w:rPr>
      </w:pPr>
      <w:r w:rsidRPr="00761435">
        <w:rPr>
          <w:rFonts w:ascii="Arial" w:hAnsi="Arial" w:cs="Arial"/>
          <w:sz w:val="22"/>
          <w:szCs w:val="22"/>
        </w:rPr>
        <w:t>The downriver portion of the Watershed is quite flat (</w:t>
      </w:r>
      <w:r>
        <w:rPr>
          <w:rFonts w:ascii="Arial" w:hAnsi="Arial" w:cs="Arial"/>
          <w:sz w:val="22"/>
          <w:szCs w:val="22"/>
        </w:rPr>
        <w:t>S</w:t>
      </w:r>
      <w:r w:rsidRPr="00761435">
        <w:rPr>
          <w:rFonts w:ascii="Arial" w:hAnsi="Arial" w:cs="Arial"/>
          <w:sz w:val="22"/>
          <w:szCs w:val="22"/>
        </w:rPr>
        <w:t xml:space="preserve">ection 2.1.2. Geology, Soils, and Groundwater) as it is the ancestral lakebed of Lake Erie during the previous Ice Age. The area immediately around the Huron River was covered in hardwood swamps, with black oak barrens in drier uphill soils. The area also had significant amounts of beech-maple forests where Belleville Lake is today. </w:t>
      </w:r>
    </w:p>
    <w:p w14:paraId="67072AA0" w14:textId="77777777" w:rsidR="008B4D33" w:rsidRDefault="008B4D33" w:rsidP="006E5D33">
      <w:pPr>
        <w:pStyle w:val="NormalWeb"/>
        <w:rPr>
          <w:rFonts w:ascii="Arial" w:hAnsi="Arial" w:cs="Arial"/>
          <w:i/>
          <w:iCs/>
          <w:sz w:val="18"/>
          <w:szCs w:val="18"/>
        </w:rPr>
      </w:pPr>
    </w:p>
    <w:p w14:paraId="776BE986" w14:textId="77777777" w:rsidR="008B4D33" w:rsidRDefault="008B4D33" w:rsidP="006E5D33">
      <w:pPr>
        <w:pStyle w:val="NormalWeb"/>
        <w:rPr>
          <w:rFonts w:ascii="Arial" w:hAnsi="Arial" w:cs="Arial"/>
          <w:i/>
          <w:iCs/>
          <w:sz w:val="18"/>
          <w:szCs w:val="18"/>
        </w:rPr>
      </w:pPr>
    </w:p>
    <w:p w14:paraId="234357C9" w14:textId="77777777" w:rsidR="008B4D33" w:rsidRDefault="008B4D33" w:rsidP="006E5D33">
      <w:pPr>
        <w:pStyle w:val="NormalWeb"/>
        <w:rPr>
          <w:rFonts w:ascii="Arial" w:hAnsi="Arial" w:cs="Arial"/>
          <w:i/>
          <w:iCs/>
          <w:sz w:val="18"/>
          <w:szCs w:val="18"/>
        </w:rPr>
      </w:pPr>
    </w:p>
    <w:p w14:paraId="296F7636" w14:textId="77777777" w:rsidR="008B4D33" w:rsidRDefault="008B4D33" w:rsidP="006E5D33">
      <w:pPr>
        <w:pStyle w:val="NormalWeb"/>
        <w:rPr>
          <w:rFonts w:ascii="Arial" w:hAnsi="Arial" w:cs="Arial"/>
          <w:i/>
          <w:iCs/>
          <w:sz w:val="18"/>
          <w:szCs w:val="18"/>
        </w:rPr>
      </w:pPr>
    </w:p>
    <w:p w14:paraId="6980946A" w14:textId="77777777" w:rsidR="008B4D33" w:rsidRDefault="008B4D33" w:rsidP="006E5D33">
      <w:pPr>
        <w:pStyle w:val="NormalWeb"/>
        <w:rPr>
          <w:rFonts w:ascii="Arial" w:hAnsi="Arial" w:cs="Arial"/>
          <w:i/>
          <w:iCs/>
          <w:sz w:val="18"/>
          <w:szCs w:val="18"/>
        </w:rPr>
      </w:pPr>
    </w:p>
    <w:p w14:paraId="6D702587" w14:textId="77777777" w:rsidR="008B4D33" w:rsidRDefault="008B4D33" w:rsidP="006E5D33">
      <w:pPr>
        <w:pStyle w:val="NormalWeb"/>
        <w:rPr>
          <w:rFonts w:ascii="Arial" w:hAnsi="Arial" w:cs="Arial"/>
          <w:i/>
          <w:iCs/>
          <w:sz w:val="18"/>
          <w:szCs w:val="18"/>
        </w:rPr>
      </w:pPr>
    </w:p>
    <w:p w14:paraId="36FB4DA3" w14:textId="77777777" w:rsidR="008B4D33" w:rsidRDefault="008B4D33" w:rsidP="006E5D33">
      <w:pPr>
        <w:pStyle w:val="NormalWeb"/>
        <w:rPr>
          <w:rFonts w:ascii="Arial" w:hAnsi="Arial" w:cs="Arial"/>
          <w:i/>
          <w:iCs/>
          <w:sz w:val="18"/>
          <w:szCs w:val="18"/>
        </w:rPr>
      </w:pPr>
    </w:p>
    <w:p w14:paraId="242CFA35" w14:textId="77777777" w:rsidR="008B4D33" w:rsidRDefault="008B4D33" w:rsidP="006E5D33">
      <w:pPr>
        <w:pStyle w:val="NormalWeb"/>
        <w:rPr>
          <w:rFonts w:ascii="Arial" w:hAnsi="Arial" w:cs="Arial"/>
          <w:i/>
          <w:iCs/>
          <w:sz w:val="18"/>
          <w:szCs w:val="18"/>
        </w:rPr>
      </w:pPr>
    </w:p>
    <w:p w14:paraId="484CD750" w14:textId="547B7708" w:rsidR="008B4D33" w:rsidRDefault="008B4D33" w:rsidP="006E5D33">
      <w:pPr>
        <w:pStyle w:val="NormalWeb"/>
        <w:rPr>
          <w:rFonts w:ascii="Arial" w:hAnsi="Arial" w:cs="Arial"/>
          <w:i/>
          <w:iCs/>
          <w:sz w:val="18"/>
          <w:szCs w:val="18"/>
        </w:rPr>
      </w:pPr>
      <w:r w:rsidRPr="00990284">
        <w:rPr>
          <w:rFonts w:ascii="Arial" w:hAnsi="Arial" w:cs="Arial"/>
          <w:i/>
          <w:iCs/>
          <w:sz w:val="18"/>
          <w:szCs w:val="18"/>
        </w:rPr>
        <w:t>Figure 2.</w:t>
      </w:r>
      <w:r>
        <w:rPr>
          <w:rFonts w:ascii="Arial" w:hAnsi="Arial" w:cs="Arial"/>
          <w:i/>
          <w:iCs/>
          <w:sz w:val="18"/>
          <w:szCs w:val="18"/>
        </w:rPr>
        <w:t>9</w:t>
      </w:r>
      <w:r w:rsidRPr="00990284">
        <w:rPr>
          <w:rFonts w:ascii="Arial" w:hAnsi="Arial" w:cs="Arial"/>
          <w:i/>
          <w:iCs/>
          <w:sz w:val="18"/>
          <w:szCs w:val="18"/>
        </w:rPr>
        <w:t>. Watershed’s Ecosystems, circa 1830’s.</w:t>
      </w:r>
    </w:p>
    <w:p w14:paraId="49DBE3C0" w14:textId="21A64FA9" w:rsidR="008B4D33" w:rsidRDefault="008B4D33" w:rsidP="006E5D33">
      <w:pPr>
        <w:pStyle w:val="NormalWeb"/>
        <w:rPr>
          <w:rFonts w:ascii="Arial" w:hAnsi="Arial" w:cs="Arial"/>
          <w:i/>
          <w:iCs/>
          <w:sz w:val="22"/>
          <w:szCs w:val="22"/>
        </w:rPr>
      </w:pPr>
      <w:r>
        <w:rPr>
          <w:rFonts w:ascii="Arial" w:hAnsi="Arial" w:cs="Arial"/>
          <w:i/>
          <w:iCs/>
          <w:noProof/>
          <w:sz w:val="18"/>
          <w:szCs w:val="18"/>
        </w:rPr>
        <w:drawing>
          <wp:inline distT="0" distB="0" distL="0" distR="0" wp14:anchorId="670DE2CD" wp14:editId="6310F59A">
            <wp:extent cx="5515355" cy="4341412"/>
            <wp:effectExtent l="0" t="0" r="0" b="2540"/>
            <wp:docPr id="5054069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22924" cy="4347370"/>
                    </a:xfrm>
                    <a:prstGeom prst="rect">
                      <a:avLst/>
                    </a:prstGeom>
                    <a:noFill/>
                    <a:ln>
                      <a:noFill/>
                    </a:ln>
                  </pic:spPr>
                </pic:pic>
              </a:graphicData>
            </a:graphic>
          </wp:inline>
        </w:drawing>
      </w:r>
    </w:p>
    <w:p w14:paraId="46ECF5B9" w14:textId="0684A7C7" w:rsidR="008B4D33" w:rsidRPr="005B3A0C" w:rsidRDefault="008B4D33" w:rsidP="006E5D33">
      <w:pPr>
        <w:pStyle w:val="NormalWeb"/>
        <w:tabs>
          <w:tab w:val="left" w:pos="1440"/>
        </w:tabs>
        <w:rPr>
          <w:rFonts w:ascii="Arial" w:hAnsi="Arial" w:cs="Arial"/>
          <w:sz w:val="22"/>
          <w:szCs w:val="22"/>
        </w:rPr>
      </w:pPr>
      <w:r w:rsidRPr="001B5012">
        <w:rPr>
          <w:rFonts w:ascii="Arial" w:hAnsi="Arial" w:cs="Arial"/>
          <w:sz w:val="22"/>
          <w:szCs w:val="22"/>
        </w:rPr>
        <w:t xml:space="preserve">Upon permanent settlement, the land began to be used for human benefit.  Initial activities on the land centered on the clearing of grasslands </w:t>
      </w:r>
      <w:r>
        <w:rPr>
          <w:rFonts w:ascii="Arial" w:hAnsi="Arial" w:cs="Arial"/>
          <w:sz w:val="22"/>
          <w:szCs w:val="22"/>
        </w:rPr>
        <w:t xml:space="preserve">and draining of wetlands </w:t>
      </w:r>
      <w:r w:rsidRPr="001B5012">
        <w:rPr>
          <w:rFonts w:ascii="Arial" w:hAnsi="Arial" w:cs="Arial"/>
          <w:sz w:val="22"/>
          <w:szCs w:val="22"/>
        </w:rPr>
        <w:t xml:space="preserve">for agricultural production and the use of </w:t>
      </w:r>
      <w:r w:rsidRPr="005B3A0C">
        <w:rPr>
          <w:rFonts w:ascii="Arial" w:hAnsi="Arial" w:cs="Arial"/>
          <w:sz w:val="22"/>
          <w:szCs w:val="22"/>
        </w:rPr>
        <w:t xml:space="preserve">forested areas for wood and wood by-products.  </w:t>
      </w:r>
    </w:p>
    <w:p w14:paraId="0B9B95FF" w14:textId="288AA521" w:rsidR="008B4D33" w:rsidRPr="00150F39" w:rsidRDefault="008B4D33" w:rsidP="006E5D33">
      <w:pPr>
        <w:pStyle w:val="NormalWeb"/>
        <w:tabs>
          <w:tab w:val="left" w:pos="1440"/>
        </w:tabs>
        <w:rPr>
          <w:rFonts w:ascii="Arial" w:hAnsi="Arial" w:cs="Arial"/>
          <w:sz w:val="22"/>
          <w:szCs w:val="22"/>
          <w:highlight w:val="yellow"/>
        </w:rPr>
      </w:pPr>
      <w:r w:rsidRPr="005B3A0C">
        <w:rPr>
          <w:rFonts w:ascii="Arial" w:hAnsi="Arial" w:cs="Arial"/>
          <w:sz w:val="22"/>
          <w:szCs w:val="22"/>
        </w:rPr>
        <w:t xml:space="preserve">The </w:t>
      </w:r>
      <w:r w:rsidRPr="009A4A71">
        <w:rPr>
          <w:rFonts w:ascii="Arial" w:hAnsi="Arial" w:cs="Arial"/>
          <w:sz w:val="22"/>
          <w:szCs w:val="22"/>
        </w:rPr>
        <w:t>most recent land use data indicates the significant changes to the landscape that have occurred since settlement. (Figure 2.10)</w:t>
      </w:r>
      <w:r w:rsidRPr="009A4A71">
        <w:rPr>
          <w:rStyle w:val="EndnoteReference"/>
          <w:rFonts w:ascii="Arial" w:hAnsi="Arial" w:cs="Arial"/>
          <w:sz w:val="22"/>
          <w:szCs w:val="22"/>
        </w:rPr>
        <w:endnoteReference w:id="7"/>
      </w:r>
      <w:r w:rsidRPr="009A4A71">
        <w:rPr>
          <w:rFonts w:ascii="Arial" w:hAnsi="Arial" w:cs="Arial"/>
          <w:sz w:val="22"/>
          <w:szCs w:val="22"/>
        </w:rPr>
        <w:t>.  A very simple breakdown is that the Watershed</w:t>
      </w:r>
      <w:r>
        <w:rPr>
          <w:rFonts w:ascii="Arial" w:hAnsi="Arial" w:cs="Arial"/>
          <w:sz w:val="22"/>
          <w:szCs w:val="22"/>
        </w:rPr>
        <w:t xml:space="preserve"> (36 square miles)</w:t>
      </w:r>
      <w:r w:rsidRPr="009A4A71">
        <w:rPr>
          <w:rFonts w:ascii="Arial" w:hAnsi="Arial" w:cs="Arial"/>
          <w:sz w:val="22"/>
          <w:szCs w:val="22"/>
        </w:rPr>
        <w:t xml:space="preserve"> is 9% agriculture/rural residential, 29% natural lands including wetlands, fields, and forests, 12% open water due to Ford and Belleville Lakes, and 37% urban/developed. 13% are other uses that don’t fit neatly into these categories like cemeteries, utilities, parks, vacant lots, and golf courses (Tables 2.5). </w:t>
      </w:r>
    </w:p>
    <w:p w14:paraId="6AD61EAB" w14:textId="29654502" w:rsidR="008B4D33" w:rsidRDefault="008B4D33" w:rsidP="006E5D33">
      <w:pPr>
        <w:pStyle w:val="NormalWeb"/>
        <w:tabs>
          <w:tab w:val="left" w:pos="1440"/>
        </w:tabs>
        <w:rPr>
          <w:rFonts w:ascii="Arial" w:hAnsi="Arial" w:cs="Arial"/>
          <w:sz w:val="22"/>
          <w:szCs w:val="22"/>
        </w:rPr>
      </w:pPr>
      <w:r w:rsidRPr="00EE3E4B">
        <w:rPr>
          <w:rFonts w:ascii="Arial" w:hAnsi="Arial" w:cs="Arial"/>
          <w:sz w:val="22"/>
          <w:szCs w:val="22"/>
        </w:rPr>
        <w:t>While 29% of the land is still natural, much of that is heavily affected by development impacts, and there is considerable potential for the reduction of water quality through stormwater runoff and agricultural practices. In addition, the vast majority of those natural lands are designated for some kind of residential, agricultural, or commercial land use (based on local government master plans and zoning ordinances), so their status can easily change when development proceeds forward.</w:t>
      </w:r>
      <w:r w:rsidRPr="3E56771A">
        <w:rPr>
          <w:rFonts w:ascii="Arial" w:hAnsi="Arial" w:cs="Arial"/>
          <w:sz w:val="22"/>
          <w:szCs w:val="22"/>
        </w:rPr>
        <w:t xml:space="preserve"> </w:t>
      </w:r>
    </w:p>
    <w:p w14:paraId="69776136" w14:textId="572E73C1" w:rsidR="008B4D33" w:rsidRPr="0057057D" w:rsidRDefault="008B4D33" w:rsidP="006E5D33">
      <w:pPr>
        <w:pStyle w:val="NormalWeb"/>
        <w:tabs>
          <w:tab w:val="left" w:pos="1440"/>
        </w:tabs>
        <w:rPr>
          <w:rFonts w:ascii="Arial" w:hAnsi="Arial" w:cs="Arial"/>
          <w:sz w:val="22"/>
          <w:szCs w:val="22"/>
        </w:rPr>
      </w:pPr>
      <w:r w:rsidRPr="00EE3E4B">
        <w:rPr>
          <w:rFonts w:ascii="Arial" w:hAnsi="Arial" w:cs="Arial"/>
          <w:sz w:val="22"/>
          <w:szCs w:val="22"/>
        </w:rPr>
        <w:lastRenderedPageBreak/>
        <w:t xml:space="preserve">The Watershed </w:t>
      </w:r>
      <w:r>
        <w:rPr>
          <w:rFonts w:ascii="Arial" w:hAnsi="Arial" w:cs="Arial"/>
          <w:sz w:val="22"/>
          <w:szCs w:val="22"/>
        </w:rPr>
        <w:t xml:space="preserve">is a part of the Middle </w:t>
      </w:r>
      <w:proofErr w:type="gramStart"/>
      <w:r>
        <w:rPr>
          <w:rFonts w:ascii="Arial" w:hAnsi="Arial" w:cs="Arial"/>
          <w:sz w:val="22"/>
          <w:szCs w:val="22"/>
        </w:rPr>
        <w:t>Huron River, and</w:t>
      </w:r>
      <w:proofErr w:type="gramEnd"/>
      <w:r>
        <w:rPr>
          <w:rFonts w:ascii="Arial" w:hAnsi="Arial" w:cs="Arial"/>
          <w:sz w:val="22"/>
          <w:szCs w:val="22"/>
        </w:rPr>
        <w:t xml:space="preserve"> does not exist in isolation</w:t>
      </w:r>
      <w:r w:rsidRPr="00EE3E4B">
        <w:rPr>
          <w:rFonts w:ascii="Arial" w:hAnsi="Arial" w:cs="Arial"/>
          <w:sz w:val="22"/>
          <w:szCs w:val="22"/>
        </w:rPr>
        <w:t>.</w:t>
      </w:r>
      <w:r>
        <w:rPr>
          <w:rFonts w:ascii="Arial" w:hAnsi="Arial" w:cs="Arial"/>
          <w:sz w:val="22"/>
          <w:szCs w:val="22"/>
        </w:rPr>
        <w:t xml:space="preserve"> </w:t>
      </w:r>
      <w:r w:rsidRPr="00EE3E4B">
        <w:rPr>
          <w:rFonts w:ascii="Arial" w:hAnsi="Arial" w:cs="Arial"/>
          <w:sz w:val="22"/>
          <w:szCs w:val="22"/>
        </w:rPr>
        <w:t xml:space="preserve">It receives substantial water from upstream, which comes into the Watershed with some water </w:t>
      </w:r>
      <w:r w:rsidRPr="0057057D">
        <w:rPr>
          <w:rFonts w:ascii="Arial" w:hAnsi="Arial" w:cs="Arial"/>
          <w:sz w:val="22"/>
          <w:szCs w:val="22"/>
        </w:rPr>
        <w:t xml:space="preserve">quality problems of its own. </w:t>
      </w:r>
    </w:p>
    <w:p w14:paraId="40C1B615" w14:textId="129C825F" w:rsidR="008B4D33" w:rsidRDefault="008B4D33" w:rsidP="006E5D33">
      <w:pPr>
        <w:pStyle w:val="NormalWeb"/>
        <w:tabs>
          <w:tab w:val="left" w:pos="1440"/>
        </w:tabs>
        <w:rPr>
          <w:rFonts w:ascii="Arial" w:hAnsi="Arial" w:cs="Arial"/>
          <w:sz w:val="22"/>
          <w:szCs w:val="22"/>
        </w:rPr>
      </w:pPr>
      <w:r w:rsidRPr="0057057D">
        <w:rPr>
          <w:rFonts w:ascii="Arial" w:hAnsi="Arial" w:cs="Arial"/>
          <w:sz w:val="22"/>
          <w:szCs w:val="22"/>
        </w:rPr>
        <w:t>The land</w:t>
      </w:r>
      <w:r>
        <w:rPr>
          <w:rFonts w:ascii="Arial" w:hAnsi="Arial" w:cs="Arial"/>
          <w:sz w:val="22"/>
          <w:szCs w:val="22"/>
        </w:rPr>
        <w:t xml:space="preserve"> </w:t>
      </w:r>
      <w:r w:rsidRPr="0057057D">
        <w:rPr>
          <w:rFonts w:ascii="Arial" w:hAnsi="Arial" w:cs="Arial"/>
          <w:sz w:val="22"/>
          <w:szCs w:val="22"/>
        </w:rPr>
        <w:t>area upstream of the Middle Huron Section 1 is almost 500 square miles, is 9% impervious, and made up of landcover and land</w:t>
      </w:r>
      <w:r>
        <w:rPr>
          <w:rFonts w:ascii="Arial" w:hAnsi="Arial" w:cs="Arial"/>
          <w:sz w:val="22"/>
          <w:szCs w:val="22"/>
        </w:rPr>
        <w:t xml:space="preserve"> </w:t>
      </w:r>
      <w:r w:rsidRPr="0057057D">
        <w:rPr>
          <w:rFonts w:ascii="Arial" w:hAnsi="Arial" w:cs="Arial"/>
          <w:sz w:val="22"/>
          <w:szCs w:val="22"/>
        </w:rPr>
        <w:t>use with the following breakdown: 24% forest, 19% agriculture, 5% open water, 1% grassland, 18% wetland, and 33% urban and residential. The Chain of Lakes Watershed Management Plan</w:t>
      </w:r>
      <w:r w:rsidRPr="0057057D">
        <w:rPr>
          <w:rStyle w:val="EndnoteReference"/>
          <w:rFonts w:ascii="Arial" w:hAnsi="Arial" w:cs="Arial"/>
          <w:sz w:val="22"/>
          <w:szCs w:val="22"/>
        </w:rPr>
        <w:endnoteReference w:id="8"/>
      </w:r>
      <w:r w:rsidRPr="0057057D">
        <w:rPr>
          <w:rFonts w:ascii="Arial" w:hAnsi="Arial" w:cs="Arial"/>
          <w:sz w:val="22"/>
          <w:szCs w:val="22"/>
        </w:rPr>
        <w:t xml:space="preserve">, while getting dated at this point, is still the best source </w:t>
      </w:r>
      <w:r>
        <w:rPr>
          <w:rFonts w:ascii="Arial" w:hAnsi="Arial" w:cs="Arial"/>
          <w:sz w:val="22"/>
          <w:szCs w:val="22"/>
        </w:rPr>
        <w:t>to understand</w:t>
      </w:r>
      <w:r w:rsidRPr="0057057D">
        <w:rPr>
          <w:rFonts w:ascii="Arial" w:hAnsi="Arial" w:cs="Arial"/>
          <w:sz w:val="22"/>
          <w:szCs w:val="22"/>
        </w:rPr>
        <w:t xml:space="preserve"> the section of the Huron River immediately upstream of the Middle Huron River.</w:t>
      </w:r>
      <w:r>
        <w:rPr>
          <w:rFonts w:ascii="Arial" w:hAnsi="Arial" w:cs="Arial"/>
          <w:sz w:val="22"/>
          <w:szCs w:val="22"/>
        </w:rPr>
        <w:t xml:space="preserve">  </w:t>
      </w:r>
    </w:p>
    <w:p w14:paraId="0E7DF1E1" w14:textId="0F80F8A8" w:rsidR="008B4D33" w:rsidRDefault="008B4D33" w:rsidP="006E5D33">
      <w:pPr>
        <w:pStyle w:val="NormalWeb"/>
        <w:tabs>
          <w:tab w:val="left" w:pos="1440"/>
        </w:tabs>
        <w:rPr>
          <w:rFonts w:ascii="Arial" w:hAnsi="Arial" w:cs="Arial"/>
          <w:sz w:val="22"/>
          <w:szCs w:val="22"/>
        </w:rPr>
      </w:pPr>
      <w:r>
        <w:rPr>
          <w:rFonts w:ascii="Arial" w:hAnsi="Arial" w:cs="Arial"/>
          <w:sz w:val="22"/>
          <w:szCs w:val="22"/>
        </w:rPr>
        <w:t xml:space="preserve">Section 1 of </w:t>
      </w:r>
      <w:proofErr w:type="gramStart"/>
      <w:r>
        <w:rPr>
          <w:rFonts w:ascii="Arial" w:hAnsi="Arial" w:cs="Arial"/>
          <w:sz w:val="22"/>
          <w:szCs w:val="22"/>
        </w:rPr>
        <w:t>the Middle</w:t>
      </w:r>
      <w:proofErr w:type="gramEnd"/>
      <w:r>
        <w:rPr>
          <w:rFonts w:ascii="Arial" w:hAnsi="Arial" w:cs="Arial"/>
          <w:sz w:val="22"/>
          <w:szCs w:val="22"/>
        </w:rPr>
        <w:t xml:space="preserve"> Huron is 204 square miles containing 43</w:t>
      </w:r>
      <w:r w:rsidRPr="0057057D">
        <w:rPr>
          <w:rFonts w:ascii="Arial" w:hAnsi="Arial" w:cs="Arial"/>
          <w:sz w:val="22"/>
          <w:szCs w:val="22"/>
        </w:rPr>
        <w:t xml:space="preserve">% </w:t>
      </w:r>
      <w:r>
        <w:rPr>
          <w:rFonts w:ascii="Arial" w:hAnsi="Arial" w:cs="Arial"/>
          <w:sz w:val="22"/>
          <w:szCs w:val="22"/>
        </w:rPr>
        <w:t>natural lands (</w:t>
      </w:r>
      <w:r w:rsidRPr="0057057D">
        <w:rPr>
          <w:rFonts w:ascii="Arial" w:hAnsi="Arial" w:cs="Arial"/>
          <w:sz w:val="22"/>
          <w:szCs w:val="22"/>
        </w:rPr>
        <w:t>forest</w:t>
      </w:r>
      <w:r>
        <w:rPr>
          <w:rFonts w:ascii="Arial" w:hAnsi="Arial" w:cs="Arial"/>
          <w:sz w:val="22"/>
          <w:szCs w:val="22"/>
        </w:rPr>
        <w:t>/wetland/grassland)</w:t>
      </w:r>
      <w:r w:rsidRPr="0057057D">
        <w:rPr>
          <w:rFonts w:ascii="Arial" w:hAnsi="Arial" w:cs="Arial"/>
          <w:sz w:val="22"/>
          <w:szCs w:val="22"/>
        </w:rPr>
        <w:t xml:space="preserve">, </w:t>
      </w:r>
      <w:r>
        <w:rPr>
          <w:rFonts w:ascii="Arial" w:hAnsi="Arial" w:cs="Arial"/>
          <w:sz w:val="22"/>
          <w:szCs w:val="22"/>
        </w:rPr>
        <w:t>44</w:t>
      </w:r>
      <w:r w:rsidRPr="0057057D">
        <w:rPr>
          <w:rFonts w:ascii="Arial" w:hAnsi="Arial" w:cs="Arial"/>
          <w:sz w:val="22"/>
          <w:szCs w:val="22"/>
        </w:rPr>
        <w:t xml:space="preserve">% agriculture, and </w:t>
      </w:r>
      <w:r>
        <w:rPr>
          <w:rFonts w:ascii="Arial" w:hAnsi="Arial" w:cs="Arial"/>
          <w:sz w:val="22"/>
          <w:szCs w:val="22"/>
        </w:rPr>
        <w:t>10</w:t>
      </w:r>
      <w:r w:rsidRPr="0057057D">
        <w:rPr>
          <w:rFonts w:ascii="Arial" w:hAnsi="Arial" w:cs="Arial"/>
          <w:sz w:val="22"/>
          <w:szCs w:val="22"/>
        </w:rPr>
        <w:t>% urban and residential.</w:t>
      </w:r>
    </w:p>
    <w:p w14:paraId="2A799821" w14:textId="3B6BC4D2" w:rsidR="008B4D33" w:rsidRDefault="008B4D33" w:rsidP="006E5D33">
      <w:pPr>
        <w:pStyle w:val="NormalWeb"/>
        <w:tabs>
          <w:tab w:val="left" w:pos="1440"/>
        </w:tabs>
        <w:rPr>
          <w:rFonts w:ascii="Arial" w:hAnsi="Arial" w:cs="Arial"/>
          <w:sz w:val="22"/>
          <w:szCs w:val="22"/>
        </w:rPr>
      </w:pPr>
      <w:r>
        <w:rPr>
          <w:rFonts w:ascii="Arial" w:hAnsi="Arial" w:cs="Arial"/>
          <w:sz w:val="22"/>
          <w:szCs w:val="22"/>
        </w:rPr>
        <w:t>Section 2 of the Middle Huron is immediately upstream of the Watershed and is 81 square miles containing 17</w:t>
      </w:r>
      <w:r w:rsidRPr="0057057D">
        <w:rPr>
          <w:rFonts w:ascii="Arial" w:hAnsi="Arial" w:cs="Arial"/>
          <w:sz w:val="22"/>
          <w:szCs w:val="22"/>
        </w:rPr>
        <w:t xml:space="preserve">% </w:t>
      </w:r>
      <w:r>
        <w:rPr>
          <w:rFonts w:ascii="Arial" w:hAnsi="Arial" w:cs="Arial"/>
          <w:sz w:val="22"/>
          <w:szCs w:val="22"/>
        </w:rPr>
        <w:t>natural lands (</w:t>
      </w:r>
      <w:r w:rsidRPr="0057057D">
        <w:rPr>
          <w:rFonts w:ascii="Arial" w:hAnsi="Arial" w:cs="Arial"/>
          <w:sz w:val="22"/>
          <w:szCs w:val="22"/>
        </w:rPr>
        <w:t>forest</w:t>
      </w:r>
      <w:r>
        <w:rPr>
          <w:rFonts w:ascii="Arial" w:hAnsi="Arial" w:cs="Arial"/>
          <w:sz w:val="22"/>
          <w:szCs w:val="22"/>
        </w:rPr>
        <w:t>/wetland/grassland)</w:t>
      </w:r>
      <w:r w:rsidRPr="0057057D">
        <w:rPr>
          <w:rFonts w:ascii="Arial" w:hAnsi="Arial" w:cs="Arial"/>
          <w:sz w:val="22"/>
          <w:szCs w:val="22"/>
        </w:rPr>
        <w:t xml:space="preserve"> </w:t>
      </w:r>
      <w:r>
        <w:rPr>
          <w:rFonts w:ascii="Arial" w:hAnsi="Arial" w:cs="Arial"/>
          <w:sz w:val="22"/>
          <w:szCs w:val="22"/>
        </w:rPr>
        <w:t>45</w:t>
      </w:r>
      <w:r w:rsidRPr="0057057D">
        <w:rPr>
          <w:rFonts w:ascii="Arial" w:hAnsi="Arial" w:cs="Arial"/>
          <w:sz w:val="22"/>
          <w:szCs w:val="22"/>
        </w:rPr>
        <w:t xml:space="preserve">% agriculture, and </w:t>
      </w:r>
      <w:r>
        <w:rPr>
          <w:rFonts w:ascii="Arial" w:hAnsi="Arial" w:cs="Arial"/>
          <w:sz w:val="22"/>
          <w:szCs w:val="22"/>
        </w:rPr>
        <w:t>36</w:t>
      </w:r>
      <w:r w:rsidRPr="0057057D">
        <w:rPr>
          <w:rFonts w:ascii="Arial" w:hAnsi="Arial" w:cs="Arial"/>
          <w:sz w:val="22"/>
          <w:szCs w:val="22"/>
        </w:rPr>
        <w:t>% urban and residential.</w:t>
      </w:r>
    </w:p>
    <w:p w14:paraId="1C794F66" w14:textId="222105E3" w:rsidR="008B4D33" w:rsidRPr="00990284" w:rsidRDefault="008B4D33" w:rsidP="006E5D33">
      <w:pPr>
        <w:pStyle w:val="NormalWeb"/>
        <w:rPr>
          <w:rFonts w:ascii="Arial" w:hAnsi="Arial" w:cs="Arial"/>
          <w:i/>
          <w:iCs/>
          <w:sz w:val="18"/>
          <w:szCs w:val="18"/>
        </w:rPr>
      </w:pPr>
      <w:r w:rsidRPr="00990284">
        <w:rPr>
          <w:rFonts w:ascii="Arial" w:hAnsi="Arial" w:cs="Arial"/>
          <w:i/>
          <w:iCs/>
          <w:sz w:val="18"/>
          <w:szCs w:val="18"/>
        </w:rPr>
        <w:t xml:space="preserve">Figure 2.14. </w:t>
      </w:r>
      <w:r w:rsidRPr="00990284">
        <w:rPr>
          <w:rFonts w:ascii="Arial" w:hAnsi="Arial" w:cs="Arial"/>
          <w:i/>
          <w:sz w:val="18"/>
          <w:szCs w:val="18"/>
        </w:rPr>
        <w:t>Land</w:t>
      </w:r>
      <w:r>
        <w:rPr>
          <w:rFonts w:ascii="Arial" w:hAnsi="Arial" w:cs="Arial"/>
          <w:i/>
          <w:sz w:val="18"/>
          <w:szCs w:val="18"/>
        </w:rPr>
        <w:t xml:space="preserve"> u</w:t>
      </w:r>
      <w:r w:rsidRPr="00990284">
        <w:rPr>
          <w:rFonts w:ascii="Arial" w:hAnsi="Arial" w:cs="Arial"/>
          <w:i/>
          <w:sz w:val="18"/>
          <w:szCs w:val="18"/>
        </w:rPr>
        <w:t>se</w:t>
      </w:r>
      <w:r>
        <w:rPr>
          <w:rFonts w:ascii="Arial" w:hAnsi="Arial" w:cs="Arial"/>
          <w:i/>
          <w:sz w:val="18"/>
          <w:szCs w:val="18"/>
        </w:rPr>
        <w:t xml:space="preserve"> and Land cover in </w:t>
      </w:r>
      <w:r w:rsidRPr="00990284">
        <w:rPr>
          <w:rFonts w:ascii="Arial" w:hAnsi="Arial" w:cs="Arial"/>
          <w:i/>
          <w:sz w:val="18"/>
          <w:szCs w:val="18"/>
        </w:rPr>
        <w:t>2020.</w:t>
      </w:r>
      <w:r>
        <w:rPr>
          <w:rFonts w:ascii="Arial" w:hAnsi="Arial" w:cs="Arial"/>
          <w:i/>
          <w:noProof/>
          <w:sz w:val="18"/>
          <w:szCs w:val="18"/>
        </w:rPr>
        <w:drawing>
          <wp:inline distT="0" distB="0" distL="0" distR="0" wp14:anchorId="2D80A445" wp14:editId="59C24D43">
            <wp:extent cx="6298966" cy="5072332"/>
            <wp:effectExtent l="0" t="0" r="6985" b="0"/>
            <wp:docPr id="865955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11168" cy="5082158"/>
                    </a:xfrm>
                    <a:prstGeom prst="rect">
                      <a:avLst/>
                    </a:prstGeom>
                    <a:noFill/>
                    <a:ln>
                      <a:noFill/>
                    </a:ln>
                  </pic:spPr>
                </pic:pic>
              </a:graphicData>
            </a:graphic>
          </wp:inline>
        </w:drawing>
      </w:r>
    </w:p>
    <w:p w14:paraId="0E611ED8" w14:textId="77777777" w:rsidR="008B4D33" w:rsidRDefault="008B4D33" w:rsidP="006E5D33">
      <w:pPr>
        <w:pStyle w:val="NormalWeb"/>
        <w:spacing w:before="0" w:beforeAutospacing="0" w:after="0" w:afterAutospacing="0"/>
        <w:rPr>
          <w:rFonts w:ascii="Arial" w:hAnsi="Arial" w:cs="Arial"/>
          <w:i/>
          <w:sz w:val="18"/>
          <w:szCs w:val="18"/>
        </w:rPr>
        <w:sectPr w:rsidR="008B4D33" w:rsidSect="00FF0338">
          <w:headerReference w:type="even" r:id="rId14"/>
          <w:headerReference w:type="default" r:id="rId15"/>
          <w:footerReference w:type="even" r:id="rId16"/>
          <w:footerReference w:type="default" r:id="rId17"/>
          <w:headerReference w:type="first" r:id="rId18"/>
          <w:footerReference w:type="first" r:id="rId19"/>
          <w:endnotePr>
            <w:numFmt w:val="decimal"/>
            <w:numStart w:val="7"/>
          </w:endnotePr>
          <w:pgSz w:w="12240" w:h="15840"/>
          <w:pgMar w:top="1440" w:right="1440" w:bottom="1440" w:left="1440" w:header="720" w:footer="720" w:gutter="0"/>
          <w:pgNumType w:start="13"/>
          <w:cols w:space="720"/>
          <w:docGrid w:linePitch="360"/>
        </w:sectPr>
      </w:pPr>
    </w:p>
    <w:p w14:paraId="3EE90522" w14:textId="4F4E535D" w:rsidR="008B4D33" w:rsidRPr="00196975" w:rsidRDefault="008B4D33" w:rsidP="005704A8">
      <w:pPr>
        <w:pStyle w:val="NormalWeb"/>
        <w:spacing w:before="0" w:beforeAutospacing="0" w:after="0" w:afterAutospacing="0"/>
        <w:rPr>
          <w:rFonts w:ascii="Arial" w:hAnsi="Arial" w:cs="Arial"/>
          <w:i/>
          <w:sz w:val="18"/>
          <w:szCs w:val="18"/>
        </w:rPr>
      </w:pPr>
      <w:r w:rsidRPr="00196975">
        <w:rPr>
          <w:rFonts w:ascii="Arial" w:hAnsi="Arial" w:cs="Arial"/>
          <w:i/>
          <w:sz w:val="18"/>
          <w:szCs w:val="18"/>
        </w:rPr>
        <w:lastRenderedPageBreak/>
        <w:t>Table 2.</w:t>
      </w:r>
      <w:r>
        <w:rPr>
          <w:rFonts w:ascii="Arial" w:hAnsi="Arial" w:cs="Arial"/>
          <w:i/>
          <w:sz w:val="18"/>
          <w:szCs w:val="18"/>
        </w:rPr>
        <w:t>5</w:t>
      </w:r>
      <w:r w:rsidRPr="00196975">
        <w:rPr>
          <w:rFonts w:ascii="Arial" w:hAnsi="Arial" w:cs="Arial"/>
          <w:i/>
          <w:sz w:val="18"/>
          <w:szCs w:val="18"/>
        </w:rPr>
        <w:t>.  20</w:t>
      </w:r>
      <w:r>
        <w:rPr>
          <w:rFonts w:ascii="Arial" w:hAnsi="Arial" w:cs="Arial"/>
          <w:i/>
          <w:sz w:val="18"/>
          <w:szCs w:val="18"/>
        </w:rPr>
        <w:t>20</w:t>
      </w:r>
      <w:r w:rsidRPr="00196975">
        <w:rPr>
          <w:rFonts w:ascii="Arial" w:hAnsi="Arial" w:cs="Arial"/>
          <w:i/>
          <w:sz w:val="18"/>
          <w:szCs w:val="18"/>
        </w:rPr>
        <w:t xml:space="preserve"> Land</w:t>
      </w:r>
      <w:r>
        <w:rPr>
          <w:rFonts w:ascii="Arial" w:hAnsi="Arial" w:cs="Arial"/>
          <w:i/>
          <w:sz w:val="18"/>
          <w:szCs w:val="18"/>
        </w:rPr>
        <w:t xml:space="preserve"> </w:t>
      </w:r>
      <w:r w:rsidRPr="00196975">
        <w:rPr>
          <w:rFonts w:ascii="Arial" w:hAnsi="Arial" w:cs="Arial"/>
          <w:i/>
          <w:sz w:val="18"/>
          <w:szCs w:val="18"/>
        </w:rPr>
        <w:t>use</w:t>
      </w:r>
      <w:r>
        <w:rPr>
          <w:rFonts w:ascii="Arial" w:hAnsi="Arial" w:cs="Arial"/>
          <w:i/>
          <w:sz w:val="18"/>
          <w:szCs w:val="18"/>
        </w:rPr>
        <w:t xml:space="preserve"> and Land cover</w:t>
      </w:r>
      <w:r w:rsidRPr="00196975">
        <w:rPr>
          <w:rFonts w:ascii="Arial" w:hAnsi="Arial" w:cs="Arial"/>
          <w:i/>
          <w:sz w:val="18"/>
          <w:szCs w:val="18"/>
        </w:rPr>
        <w:t xml:space="preserve"> in the Watershed, broken into the sub-watersheds.  </w:t>
      </w:r>
    </w:p>
    <w:p w14:paraId="0C76B9D4" w14:textId="77777777" w:rsidR="008B4D33" w:rsidRDefault="008B4D33" w:rsidP="005704A8">
      <w:pPr>
        <w:pStyle w:val="NormalWeb"/>
        <w:spacing w:before="0" w:beforeAutospacing="0" w:after="0" w:afterAutospacing="0"/>
        <w:rPr>
          <w:rFonts w:ascii="Arial" w:hAnsi="Arial" w:cs="Arial"/>
          <w:b/>
          <w:bCs/>
          <w:sz w:val="20"/>
          <w:szCs w:val="20"/>
        </w:rPr>
      </w:pPr>
    </w:p>
    <w:tbl>
      <w:tblPr>
        <w:tblW w:w="12410" w:type="dxa"/>
        <w:tblLook w:val="04A0" w:firstRow="1" w:lastRow="0" w:firstColumn="1" w:lastColumn="0" w:noHBand="0" w:noVBand="1"/>
      </w:tblPr>
      <w:tblGrid>
        <w:gridCol w:w="1256"/>
        <w:gridCol w:w="1585"/>
        <w:gridCol w:w="1170"/>
        <w:gridCol w:w="1674"/>
        <w:gridCol w:w="1051"/>
        <w:gridCol w:w="1156"/>
        <w:gridCol w:w="1131"/>
        <w:gridCol w:w="1156"/>
        <w:gridCol w:w="1027"/>
        <w:gridCol w:w="1204"/>
      </w:tblGrid>
      <w:tr w:rsidR="008B4D33" w14:paraId="776D10EB" w14:textId="77777777" w:rsidTr="0056032F">
        <w:trPr>
          <w:trHeight w:val="615"/>
        </w:trPr>
        <w:tc>
          <w:tcPr>
            <w:tcW w:w="1256" w:type="dxa"/>
            <w:tcBorders>
              <w:top w:val="single" w:sz="8" w:space="0" w:color="auto"/>
              <w:left w:val="single" w:sz="8" w:space="0" w:color="auto"/>
              <w:bottom w:val="single" w:sz="8" w:space="0" w:color="auto"/>
              <w:right w:val="nil"/>
            </w:tcBorders>
            <w:shd w:val="clear" w:color="000000" w:fill="FFFFFF"/>
            <w:vAlign w:val="center"/>
            <w:hideMark/>
          </w:tcPr>
          <w:p w14:paraId="225B4B6D" w14:textId="77777777" w:rsidR="008B4D33" w:rsidRDefault="008B4D33">
            <w:pPr>
              <w:jc w:val="center"/>
              <w:rPr>
                <w:rFonts w:ascii="Calibri" w:hAnsi="Calibri" w:cs="Calibri"/>
                <w:b/>
                <w:bCs/>
                <w:color w:val="000000"/>
                <w:sz w:val="22"/>
                <w:szCs w:val="22"/>
              </w:rPr>
            </w:pPr>
            <w:proofErr w:type="spellStart"/>
            <w:r>
              <w:rPr>
                <w:rFonts w:ascii="Calibri" w:hAnsi="Calibri" w:cs="Calibri"/>
                <w:b/>
                <w:bCs/>
                <w:color w:val="000000"/>
                <w:sz w:val="22"/>
                <w:szCs w:val="22"/>
              </w:rPr>
              <w:t>Landuse</w:t>
            </w:r>
            <w:proofErr w:type="spellEnd"/>
            <w:r>
              <w:rPr>
                <w:rFonts w:ascii="Calibri" w:hAnsi="Calibri" w:cs="Calibri"/>
                <w:b/>
                <w:bCs/>
                <w:color w:val="000000"/>
                <w:sz w:val="22"/>
                <w:szCs w:val="22"/>
              </w:rPr>
              <w:t>/ Landcover</w:t>
            </w:r>
          </w:p>
        </w:tc>
        <w:tc>
          <w:tcPr>
            <w:tcW w:w="1595"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23694E38" w14:textId="77777777" w:rsidR="008B4D33" w:rsidRDefault="008B4D33">
            <w:pPr>
              <w:jc w:val="center"/>
              <w:rPr>
                <w:rFonts w:ascii="Calibri" w:hAnsi="Calibri" w:cs="Calibri"/>
                <w:b/>
                <w:bCs/>
                <w:color w:val="000000"/>
                <w:sz w:val="22"/>
                <w:szCs w:val="22"/>
              </w:rPr>
            </w:pPr>
            <w:r>
              <w:rPr>
                <w:rFonts w:ascii="Calibri" w:hAnsi="Calibri" w:cs="Calibri"/>
                <w:b/>
                <w:bCs/>
                <w:color w:val="000000"/>
                <w:sz w:val="22"/>
                <w:szCs w:val="22"/>
              </w:rPr>
              <w:t>Subcategory</w:t>
            </w:r>
          </w:p>
        </w:tc>
        <w:tc>
          <w:tcPr>
            <w:tcW w:w="2865" w:type="dxa"/>
            <w:gridSpan w:val="2"/>
            <w:tcBorders>
              <w:top w:val="single" w:sz="8" w:space="0" w:color="auto"/>
              <w:left w:val="nil"/>
              <w:bottom w:val="single" w:sz="8" w:space="0" w:color="auto"/>
              <w:right w:val="single" w:sz="8" w:space="0" w:color="000000"/>
            </w:tcBorders>
            <w:shd w:val="clear" w:color="000000" w:fill="FFFFFF"/>
            <w:vAlign w:val="center"/>
            <w:hideMark/>
          </w:tcPr>
          <w:p w14:paraId="19EA87F9" w14:textId="77777777" w:rsidR="008B4D33" w:rsidRDefault="008B4D33">
            <w:pPr>
              <w:jc w:val="center"/>
              <w:rPr>
                <w:rFonts w:ascii="Calibri" w:hAnsi="Calibri" w:cs="Calibri"/>
                <w:b/>
                <w:bCs/>
                <w:color w:val="000000"/>
                <w:sz w:val="22"/>
                <w:szCs w:val="22"/>
              </w:rPr>
            </w:pPr>
            <w:r>
              <w:rPr>
                <w:rFonts w:ascii="Calibri" w:hAnsi="Calibri" w:cs="Calibri"/>
                <w:b/>
                <w:bCs/>
                <w:color w:val="000000"/>
                <w:sz w:val="22"/>
                <w:szCs w:val="22"/>
              </w:rPr>
              <w:t>Superior Pond/Peninsular Pond/Huron River</w:t>
            </w:r>
          </w:p>
        </w:tc>
        <w:tc>
          <w:tcPr>
            <w:tcW w:w="2207" w:type="dxa"/>
            <w:gridSpan w:val="2"/>
            <w:tcBorders>
              <w:top w:val="single" w:sz="8" w:space="0" w:color="auto"/>
              <w:left w:val="nil"/>
              <w:bottom w:val="single" w:sz="8" w:space="0" w:color="auto"/>
              <w:right w:val="single" w:sz="8" w:space="0" w:color="000000"/>
            </w:tcBorders>
            <w:shd w:val="clear" w:color="000000" w:fill="FFFFFF"/>
            <w:vAlign w:val="center"/>
            <w:hideMark/>
          </w:tcPr>
          <w:p w14:paraId="556F15D3" w14:textId="77777777" w:rsidR="008B4D33" w:rsidRDefault="008B4D33">
            <w:pPr>
              <w:jc w:val="center"/>
              <w:rPr>
                <w:rFonts w:ascii="Calibri" w:hAnsi="Calibri" w:cs="Calibri"/>
                <w:b/>
                <w:bCs/>
                <w:color w:val="000000"/>
                <w:sz w:val="22"/>
                <w:szCs w:val="22"/>
              </w:rPr>
            </w:pPr>
            <w:r>
              <w:rPr>
                <w:rFonts w:ascii="Calibri" w:hAnsi="Calibri" w:cs="Calibri"/>
                <w:b/>
                <w:bCs/>
                <w:color w:val="000000"/>
                <w:sz w:val="22"/>
                <w:szCs w:val="22"/>
              </w:rPr>
              <w:t>Ford</w:t>
            </w:r>
          </w:p>
        </w:tc>
        <w:tc>
          <w:tcPr>
            <w:tcW w:w="2287" w:type="dxa"/>
            <w:gridSpan w:val="2"/>
            <w:tcBorders>
              <w:top w:val="single" w:sz="8" w:space="0" w:color="auto"/>
              <w:left w:val="nil"/>
              <w:bottom w:val="single" w:sz="8" w:space="0" w:color="auto"/>
              <w:right w:val="single" w:sz="8" w:space="0" w:color="000000"/>
            </w:tcBorders>
            <w:shd w:val="clear" w:color="000000" w:fill="FFFFFF"/>
            <w:vAlign w:val="center"/>
            <w:hideMark/>
          </w:tcPr>
          <w:p w14:paraId="21A52C9A" w14:textId="77777777" w:rsidR="008B4D33" w:rsidRDefault="008B4D33">
            <w:pPr>
              <w:jc w:val="center"/>
              <w:rPr>
                <w:rFonts w:ascii="Calibri" w:hAnsi="Calibri" w:cs="Calibri"/>
                <w:b/>
                <w:bCs/>
                <w:color w:val="000000"/>
                <w:sz w:val="22"/>
                <w:szCs w:val="22"/>
              </w:rPr>
            </w:pPr>
            <w:r>
              <w:rPr>
                <w:rFonts w:ascii="Calibri" w:hAnsi="Calibri" w:cs="Calibri"/>
                <w:b/>
                <w:bCs/>
                <w:color w:val="000000"/>
                <w:sz w:val="22"/>
                <w:szCs w:val="22"/>
              </w:rPr>
              <w:t>Belleville</w:t>
            </w:r>
          </w:p>
        </w:tc>
        <w:tc>
          <w:tcPr>
            <w:tcW w:w="2200" w:type="dxa"/>
            <w:gridSpan w:val="2"/>
            <w:tcBorders>
              <w:top w:val="single" w:sz="8" w:space="0" w:color="auto"/>
              <w:left w:val="nil"/>
              <w:bottom w:val="single" w:sz="8" w:space="0" w:color="auto"/>
              <w:right w:val="single" w:sz="8" w:space="0" w:color="auto"/>
            </w:tcBorders>
            <w:shd w:val="clear" w:color="000000" w:fill="FFFFFF"/>
            <w:vAlign w:val="center"/>
            <w:hideMark/>
          </w:tcPr>
          <w:p w14:paraId="58ACC777" w14:textId="77777777" w:rsidR="008B4D33" w:rsidRDefault="008B4D33">
            <w:pPr>
              <w:jc w:val="center"/>
              <w:rPr>
                <w:rFonts w:ascii="Calibri" w:hAnsi="Calibri" w:cs="Calibri"/>
                <w:b/>
                <w:bCs/>
                <w:color w:val="000000"/>
                <w:sz w:val="22"/>
                <w:szCs w:val="22"/>
              </w:rPr>
            </w:pPr>
            <w:r>
              <w:rPr>
                <w:rFonts w:ascii="Calibri" w:hAnsi="Calibri" w:cs="Calibri"/>
                <w:b/>
                <w:bCs/>
                <w:color w:val="000000"/>
                <w:sz w:val="22"/>
                <w:szCs w:val="22"/>
              </w:rPr>
              <w:t>The Watershed (all)</w:t>
            </w:r>
          </w:p>
        </w:tc>
      </w:tr>
      <w:tr w:rsidR="008B4D33" w14:paraId="5D831C31" w14:textId="77777777" w:rsidTr="0056032F">
        <w:trPr>
          <w:trHeight w:val="615"/>
        </w:trPr>
        <w:tc>
          <w:tcPr>
            <w:tcW w:w="1256" w:type="dxa"/>
            <w:tcBorders>
              <w:top w:val="nil"/>
              <w:left w:val="single" w:sz="8" w:space="0" w:color="auto"/>
              <w:bottom w:val="nil"/>
              <w:right w:val="nil"/>
            </w:tcBorders>
            <w:shd w:val="clear" w:color="000000" w:fill="FFFFFF"/>
            <w:vAlign w:val="center"/>
            <w:hideMark/>
          </w:tcPr>
          <w:p w14:paraId="2E2F0EC5"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 </w:t>
            </w:r>
          </w:p>
        </w:tc>
        <w:tc>
          <w:tcPr>
            <w:tcW w:w="1595" w:type="dxa"/>
            <w:tcBorders>
              <w:top w:val="nil"/>
              <w:left w:val="single" w:sz="8" w:space="0" w:color="auto"/>
              <w:bottom w:val="nil"/>
              <w:right w:val="single" w:sz="8" w:space="0" w:color="auto"/>
            </w:tcBorders>
            <w:shd w:val="clear" w:color="000000" w:fill="FFFFFF"/>
            <w:vAlign w:val="center"/>
            <w:hideMark/>
          </w:tcPr>
          <w:p w14:paraId="5E5657BB"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 </w:t>
            </w:r>
          </w:p>
        </w:tc>
        <w:tc>
          <w:tcPr>
            <w:tcW w:w="1170" w:type="dxa"/>
            <w:tcBorders>
              <w:top w:val="nil"/>
              <w:left w:val="nil"/>
              <w:bottom w:val="nil"/>
              <w:right w:val="dotted" w:sz="4" w:space="0" w:color="auto"/>
            </w:tcBorders>
            <w:shd w:val="clear" w:color="000000" w:fill="FFFFFF"/>
            <w:vAlign w:val="center"/>
            <w:hideMark/>
          </w:tcPr>
          <w:p w14:paraId="31709BAB"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Acres</w:t>
            </w:r>
          </w:p>
        </w:tc>
        <w:tc>
          <w:tcPr>
            <w:tcW w:w="1695" w:type="dxa"/>
            <w:tcBorders>
              <w:top w:val="nil"/>
              <w:left w:val="nil"/>
              <w:bottom w:val="nil"/>
              <w:right w:val="single" w:sz="8" w:space="0" w:color="auto"/>
            </w:tcBorders>
            <w:shd w:val="clear" w:color="000000" w:fill="FFFFFF"/>
            <w:vAlign w:val="center"/>
            <w:hideMark/>
          </w:tcPr>
          <w:p w14:paraId="4810B6D4"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 xml:space="preserve">% of </w:t>
            </w:r>
            <w:proofErr w:type="spellStart"/>
            <w:r>
              <w:rPr>
                <w:rFonts w:ascii="Calibri" w:hAnsi="Calibri" w:cs="Calibri"/>
                <w:color w:val="000000"/>
                <w:sz w:val="22"/>
                <w:szCs w:val="22"/>
              </w:rPr>
              <w:t>Creekshed</w:t>
            </w:r>
            <w:proofErr w:type="spellEnd"/>
          </w:p>
        </w:tc>
        <w:tc>
          <w:tcPr>
            <w:tcW w:w="1051" w:type="dxa"/>
            <w:tcBorders>
              <w:top w:val="nil"/>
              <w:left w:val="nil"/>
              <w:bottom w:val="single" w:sz="8" w:space="0" w:color="auto"/>
              <w:right w:val="dotted" w:sz="4" w:space="0" w:color="auto"/>
            </w:tcBorders>
            <w:shd w:val="clear" w:color="000000" w:fill="FFFFFF"/>
            <w:vAlign w:val="center"/>
            <w:hideMark/>
          </w:tcPr>
          <w:p w14:paraId="4442B656"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Acres</w:t>
            </w:r>
          </w:p>
        </w:tc>
        <w:tc>
          <w:tcPr>
            <w:tcW w:w="1156" w:type="dxa"/>
            <w:tcBorders>
              <w:top w:val="nil"/>
              <w:left w:val="nil"/>
              <w:bottom w:val="nil"/>
              <w:right w:val="single" w:sz="8" w:space="0" w:color="auto"/>
            </w:tcBorders>
            <w:shd w:val="clear" w:color="000000" w:fill="FFFFFF"/>
            <w:vAlign w:val="center"/>
            <w:hideMark/>
          </w:tcPr>
          <w:p w14:paraId="4E59DA7B"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 xml:space="preserve">% of </w:t>
            </w:r>
            <w:proofErr w:type="spellStart"/>
            <w:r>
              <w:rPr>
                <w:rFonts w:ascii="Calibri" w:hAnsi="Calibri" w:cs="Calibri"/>
                <w:color w:val="000000"/>
                <w:sz w:val="22"/>
                <w:szCs w:val="22"/>
              </w:rPr>
              <w:t>Creekshed</w:t>
            </w:r>
            <w:proofErr w:type="spellEnd"/>
          </w:p>
        </w:tc>
        <w:tc>
          <w:tcPr>
            <w:tcW w:w="1131" w:type="dxa"/>
            <w:tcBorders>
              <w:top w:val="nil"/>
              <w:left w:val="nil"/>
              <w:bottom w:val="single" w:sz="8" w:space="0" w:color="auto"/>
              <w:right w:val="nil"/>
            </w:tcBorders>
            <w:shd w:val="clear" w:color="000000" w:fill="FFFFFF"/>
            <w:vAlign w:val="center"/>
            <w:hideMark/>
          </w:tcPr>
          <w:p w14:paraId="681F8755"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Acres</w:t>
            </w:r>
          </w:p>
        </w:tc>
        <w:tc>
          <w:tcPr>
            <w:tcW w:w="1156" w:type="dxa"/>
            <w:tcBorders>
              <w:top w:val="nil"/>
              <w:left w:val="dotted" w:sz="4" w:space="0" w:color="auto"/>
              <w:bottom w:val="single" w:sz="8" w:space="0" w:color="auto"/>
              <w:right w:val="single" w:sz="8" w:space="0" w:color="auto"/>
            </w:tcBorders>
            <w:shd w:val="clear" w:color="000000" w:fill="FFFFFF"/>
            <w:vAlign w:val="center"/>
            <w:hideMark/>
          </w:tcPr>
          <w:p w14:paraId="1C97C23D"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 xml:space="preserve">% of </w:t>
            </w:r>
            <w:proofErr w:type="spellStart"/>
            <w:r>
              <w:rPr>
                <w:rFonts w:ascii="Calibri" w:hAnsi="Calibri" w:cs="Calibri"/>
                <w:color w:val="000000"/>
                <w:sz w:val="22"/>
                <w:szCs w:val="22"/>
              </w:rPr>
              <w:t>Creekshed</w:t>
            </w:r>
            <w:proofErr w:type="spellEnd"/>
          </w:p>
        </w:tc>
        <w:tc>
          <w:tcPr>
            <w:tcW w:w="1030" w:type="dxa"/>
            <w:tcBorders>
              <w:top w:val="nil"/>
              <w:left w:val="nil"/>
              <w:bottom w:val="single" w:sz="8" w:space="0" w:color="auto"/>
              <w:right w:val="dotted" w:sz="4" w:space="0" w:color="auto"/>
            </w:tcBorders>
            <w:shd w:val="clear" w:color="000000" w:fill="FFFFFF"/>
            <w:vAlign w:val="center"/>
            <w:hideMark/>
          </w:tcPr>
          <w:p w14:paraId="05036964"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Acres</w:t>
            </w:r>
          </w:p>
        </w:tc>
        <w:tc>
          <w:tcPr>
            <w:tcW w:w="1170" w:type="dxa"/>
            <w:tcBorders>
              <w:top w:val="nil"/>
              <w:left w:val="nil"/>
              <w:bottom w:val="single" w:sz="8" w:space="0" w:color="auto"/>
              <w:right w:val="single" w:sz="8" w:space="0" w:color="auto"/>
            </w:tcBorders>
            <w:shd w:val="clear" w:color="000000" w:fill="FFFFFF"/>
            <w:vAlign w:val="center"/>
            <w:hideMark/>
          </w:tcPr>
          <w:p w14:paraId="6EEEE2E3"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 of Watershed</w:t>
            </w:r>
          </w:p>
        </w:tc>
      </w:tr>
      <w:tr w:rsidR="008B4D33" w14:paraId="5787399B" w14:textId="77777777" w:rsidTr="0056032F">
        <w:trPr>
          <w:trHeight w:val="315"/>
        </w:trPr>
        <w:tc>
          <w:tcPr>
            <w:tcW w:w="1256" w:type="dxa"/>
            <w:tcBorders>
              <w:top w:val="single" w:sz="8" w:space="0" w:color="auto"/>
              <w:left w:val="single" w:sz="8" w:space="0" w:color="auto"/>
              <w:bottom w:val="single" w:sz="8" w:space="0" w:color="auto"/>
              <w:right w:val="nil"/>
            </w:tcBorders>
            <w:shd w:val="clear" w:color="000000" w:fill="FFFFFF"/>
            <w:vAlign w:val="center"/>
            <w:hideMark/>
          </w:tcPr>
          <w:p w14:paraId="09DD7C37"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Total</w:t>
            </w:r>
          </w:p>
        </w:tc>
        <w:tc>
          <w:tcPr>
            <w:tcW w:w="1595"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10F2F97D"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 </w:t>
            </w:r>
          </w:p>
        </w:tc>
        <w:tc>
          <w:tcPr>
            <w:tcW w:w="1170" w:type="dxa"/>
            <w:tcBorders>
              <w:top w:val="single" w:sz="8" w:space="0" w:color="auto"/>
              <w:left w:val="nil"/>
              <w:bottom w:val="single" w:sz="8" w:space="0" w:color="auto"/>
              <w:right w:val="dotted" w:sz="4" w:space="0" w:color="auto"/>
            </w:tcBorders>
            <w:shd w:val="clear" w:color="000000" w:fill="FFFFFF"/>
            <w:vAlign w:val="center"/>
            <w:hideMark/>
          </w:tcPr>
          <w:p w14:paraId="5459EA07"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8016.5</w:t>
            </w:r>
          </w:p>
        </w:tc>
        <w:tc>
          <w:tcPr>
            <w:tcW w:w="1695" w:type="dxa"/>
            <w:tcBorders>
              <w:top w:val="single" w:sz="8" w:space="0" w:color="auto"/>
              <w:left w:val="nil"/>
              <w:bottom w:val="single" w:sz="8" w:space="0" w:color="auto"/>
              <w:right w:val="single" w:sz="8" w:space="0" w:color="auto"/>
            </w:tcBorders>
            <w:shd w:val="clear" w:color="000000" w:fill="FFFFFF"/>
            <w:vAlign w:val="center"/>
            <w:hideMark/>
          </w:tcPr>
          <w:p w14:paraId="18740289"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100.0</w:t>
            </w:r>
          </w:p>
        </w:tc>
        <w:tc>
          <w:tcPr>
            <w:tcW w:w="1051" w:type="dxa"/>
            <w:tcBorders>
              <w:top w:val="nil"/>
              <w:left w:val="nil"/>
              <w:bottom w:val="single" w:sz="8" w:space="0" w:color="auto"/>
              <w:right w:val="dotted" w:sz="4" w:space="0" w:color="auto"/>
            </w:tcBorders>
            <w:shd w:val="clear" w:color="000000" w:fill="FFFFFF"/>
            <w:vAlign w:val="center"/>
            <w:hideMark/>
          </w:tcPr>
          <w:p w14:paraId="3591FC24"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3325.4</w:t>
            </w:r>
          </w:p>
        </w:tc>
        <w:tc>
          <w:tcPr>
            <w:tcW w:w="1156" w:type="dxa"/>
            <w:tcBorders>
              <w:top w:val="single" w:sz="8" w:space="0" w:color="auto"/>
              <w:left w:val="nil"/>
              <w:bottom w:val="single" w:sz="8" w:space="0" w:color="auto"/>
              <w:right w:val="single" w:sz="8" w:space="0" w:color="auto"/>
            </w:tcBorders>
            <w:shd w:val="clear" w:color="000000" w:fill="FFFFFF"/>
            <w:vAlign w:val="center"/>
            <w:hideMark/>
          </w:tcPr>
          <w:p w14:paraId="3C82B7A9"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100.0</w:t>
            </w:r>
          </w:p>
        </w:tc>
        <w:tc>
          <w:tcPr>
            <w:tcW w:w="1131" w:type="dxa"/>
            <w:tcBorders>
              <w:top w:val="nil"/>
              <w:left w:val="nil"/>
              <w:bottom w:val="single" w:sz="8" w:space="0" w:color="auto"/>
              <w:right w:val="dotted" w:sz="4" w:space="0" w:color="auto"/>
            </w:tcBorders>
            <w:shd w:val="clear" w:color="000000" w:fill="FFFFFF"/>
            <w:vAlign w:val="center"/>
            <w:hideMark/>
          </w:tcPr>
          <w:p w14:paraId="7DCCAC47"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10329.6</w:t>
            </w:r>
          </w:p>
        </w:tc>
        <w:tc>
          <w:tcPr>
            <w:tcW w:w="1156" w:type="dxa"/>
            <w:tcBorders>
              <w:top w:val="nil"/>
              <w:left w:val="nil"/>
              <w:bottom w:val="single" w:sz="8" w:space="0" w:color="auto"/>
              <w:right w:val="single" w:sz="8" w:space="0" w:color="auto"/>
            </w:tcBorders>
            <w:shd w:val="clear" w:color="000000" w:fill="FFFFFF"/>
            <w:vAlign w:val="center"/>
            <w:hideMark/>
          </w:tcPr>
          <w:p w14:paraId="2FFA107D"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100.0</w:t>
            </w:r>
          </w:p>
        </w:tc>
        <w:tc>
          <w:tcPr>
            <w:tcW w:w="1030" w:type="dxa"/>
            <w:tcBorders>
              <w:top w:val="nil"/>
              <w:left w:val="nil"/>
              <w:bottom w:val="single" w:sz="8" w:space="0" w:color="auto"/>
              <w:right w:val="dotted" w:sz="4" w:space="0" w:color="auto"/>
            </w:tcBorders>
            <w:shd w:val="clear" w:color="000000" w:fill="FFFFFF"/>
            <w:vAlign w:val="center"/>
            <w:hideMark/>
          </w:tcPr>
          <w:p w14:paraId="27574615"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21671.6</w:t>
            </w:r>
          </w:p>
        </w:tc>
        <w:tc>
          <w:tcPr>
            <w:tcW w:w="1170" w:type="dxa"/>
            <w:tcBorders>
              <w:top w:val="nil"/>
              <w:left w:val="nil"/>
              <w:bottom w:val="single" w:sz="8" w:space="0" w:color="auto"/>
              <w:right w:val="single" w:sz="8" w:space="0" w:color="auto"/>
            </w:tcBorders>
            <w:shd w:val="clear" w:color="000000" w:fill="FFFFFF"/>
            <w:vAlign w:val="center"/>
            <w:hideMark/>
          </w:tcPr>
          <w:p w14:paraId="5A284FB8"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100.0</w:t>
            </w:r>
          </w:p>
        </w:tc>
      </w:tr>
      <w:tr w:rsidR="008B4D33" w14:paraId="63F82EF4" w14:textId="77777777" w:rsidTr="0056032F">
        <w:trPr>
          <w:trHeight w:val="915"/>
        </w:trPr>
        <w:tc>
          <w:tcPr>
            <w:tcW w:w="1256" w:type="dxa"/>
            <w:tcBorders>
              <w:top w:val="nil"/>
              <w:left w:val="single" w:sz="8" w:space="0" w:color="auto"/>
              <w:bottom w:val="single" w:sz="8" w:space="0" w:color="auto"/>
              <w:right w:val="nil"/>
            </w:tcBorders>
            <w:shd w:val="clear" w:color="000000" w:fill="FFFFFF"/>
            <w:vAlign w:val="center"/>
            <w:hideMark/>
          </w:tcPr>
          <w:p w14:paraId="79B9E17F"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Agricultural / Rural Residential</w:t>
            </w:r>
          </w:p>
        </w:tc>
        <w:tc>
          <w:tcPr>
            <w:tcW w:w="1595" w:type="dxa"/>
            <w:tcBorders>
              <w:top w:val="nil"/>
              <w:left w:val="single" w:sz="8" w:space="0" w:color="auto"/>
              <w:bottom w:val="single" w:sz="8" w:space="0" w:color="auto"/>
              <w:right w:val="single" w:sz="8" w:space="0" w:color="auto"/>
            </w:tcBorders>
            <w:shd w:val="clear" w:color="000000" w:fill="FFFFFF"/>
            <w:vAlign w:val="center"/>
            <w:hideMark/>
          </w:tcPr>
          <w:p w14:paraId="6B0CBE71"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 </w:t>
            </w:r>
          </w:p>
        </w:tc>
        <w:tc>
          <w:tcPr>
            <w:tcW w:w="1170" w:type="dxa"/>
            <w:tcBorders>
              <w:top w:val="nil"/>
              <w:left w:val="nil"/>
              <w:bottom w:val="single" w:sz="8" w:space="0" w:color="auto"/>
              <w:right w:val="dotted" w:sz="4" w:space="0" w:color="auto"/>
            </w:tcBorders>
            <w:shd w:val="clear" w:color="000000" w:fill="FFFFFF"/>
            <w:vAlign w:val="center"/>
            <w:hideMark/>
          </w:tcPr>
          <w:p w14:paraId="62F2F840"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1337.0</w:t>
            </w:r>
          </w:p>
        </w:tc>
        <w:tc>
          <w:tcPr>
            <w:tcW w:w="1695" w:type="dxa"/>
            <w:tcBorders>
              <w:top w:val="nil"/>
              <w:left w:val="nil"/>
              <w:bottom w:val="single" w:sz="8" w:space="0" w:color="auto"/>
              <w:right w:val="single" w:sz="8" w:space="0" w:color="auto"/>
            </w:tcBorders>
            <w:shd w:val="clear" w:color="000000" w:fill="FFFFFF"/>
            <w:vAlign w:val="center"/>
            <w:hideMark/>
          </w:tcPr>
          <w:p w14:paraId="1E2A8B30"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16.7</w:t>
            </w:r>
          </w:p>
        </w:tc>
        <w:tc>
          <w:tcPr>
            <w:tcW w:w="1051" w:type="dxa"/>
            <w:tcBorders>
              <w:top w:val="nil"/>
              <w:left w:val="nil"/>
              <w:bottom w:val="single" w:sz="8" w:space="0" w:color="auto"/>
              <w:right w:val="dotted" w:sz="4" w:space="0" w:color="auto"/>
            </w:tcBorders>
            <w:shd w:val="clear" w:color="000000" w:fill="FFFFFF"/>
            <w:vAlign w:val="center"/>
            <w:hideMark/>
          </w:tcPr>
          <w:p w14:paraId="612A8568"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56.1</w:t>
            </w:r>
          </w:p>
        </w:tc>
        <w:tc>
          <w:tcPr>
            <w:tcW w:w="1156" w:type="dxa"/>
            <w:tcBorders>
              <w:top w:val="nil"/>
              <w:left w:val="nil"/>
              <w:bottom w:val="single" w:sz="8" w:space="0" w:color="auto"/>
              <w:right w:val="single" w:sz="8" w:space="0" w:color="auto"/>
            </w:tcBorders>
            <w:shd w:val="clear" w:color="000000" w:fill="FFFFFF"/>
            <w:vAlign w:val="center"/>
            <w:hideMark/>
          </w:tcPr>
          <w:p w14:paraId="374CBFDF"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1.7</w:t>
            </w:r>
          </w:p>
        </w:tc>
        <w:tc>
          <w:tcPr>
            <w:tcW w:w="1131" w:type="dxa"/>
            <w:tcBorders>
              <w:top w:val="nil"/>
              <w:left w:val="nil"/>
              <w:bottom w:val="single" w:sz="8" w:space="0" w:color="auto"/>
              <w:right w:val="dotted" w:sz="4" w:space="0" w:color="auto"/>
            </w:tcBorders>
            <w:shd w:val="clear" w:color="000000" w:fill="FFFFFF"/>
            <w:vAlign w:val="center"/>
            <w:hideMark/>
          </w:tcPr>
          <w:p w14:paraId="1669A6BB"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565.4</w:t>
            </w:r>
          </w:p>
        </w:tc>
        <w:tc>
          <w:tcPr>
            <w:tcW w:w="1156" w:type="dxa"/>
            <w:tcBorders>
              <w:top w:val="nil"/>
              <w:left w:val="nil"/>
              <w:bottom w:val="single" w:sz="8" w:space="0" w:color="auto"/>
              <w:right w:val="single" w:sz="8" w:space="0" w:color="auto"/>
            </w:tcBorders>
            <w:shd w:val="clear" w:color="000000" w:fill="FFFFFF"/>
            <w:vAlign w:val="center"/>
            <w:hideMark/>
          </w:tcPr>
          <w:p w14:paraId="6E2E09CE"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5.5</w:t>
            </w:r>
          </w:p>
        </w:tc>
        <w:tc>
          <w:tcPr>
            <w:tcW w:w="1030" w:type="dxa"/>
            <w:tcBorders>
              <w:top w:val="nil"/>
              <w:left w:val="nil"/>
              <w:bottom w:val="single" w:sz="8" w:space="0" w:color="auto"/>
              <w:right w:val="dotted" w:sz="4" w:space="0" w:color="auto"/>
            </w:tcBorders>
            <w:shd w:val="clear" w:color="000000" w:fill="FFFFFF"/>
            <w:vAlign w:val="center"/>
            <w:hideMark/>
          </w:tcPr>
          <w:p w14:paraId="773B14AD"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1958.5</w:t>
            </w:r>
          </w:p>
        </w:tc>
        <w:tc>
          <w:tcPr>
            <w:tcW w:w="1170" w:type="dxa"/>
            <w:tcBorders>
              <w:top w:val="nil"/>
              <w:left w:val="nil"/>
              <w:bottom w:val="single" w:sz="8" w:space="0" w:color="auto"/>
              <w:right w:val="single" w:sz="8" w:space="0" w:color="auto"/>
            </w:tcBorders>
            <w:shd w:val="clear" w:color="000000" w:fill="FFFFFF"/>
            <w:vAlign w:val="center"/>
            <w:hideMark/>
          </w:tcPr>
          <w:p w14:paraId="30951FF8"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9.0</w:t>
            </w:r>
          </w:p>
        </w:tc>
      </w:tr>
      <w:tr w:rsidR="008B4D33" w14:paraId="526FFB1C" w14:textId="77777777" w:rsidTr="0056032F">
        <w:trPr>
          <w:trHeight w:val="315"/>
        </w:trPr>
        <w:tc>
          <w:tcPr>
            <w:tcW w:w="1256" w:type="dxa"/>
            <w:tcBorders>
              <w:top w:val="nil"/>
              <w:left w:val="single" w:sz="8" w:space="0" w:color="auto"/>
              <w:bottom w:val="single" w:sz="8" w:space="0" w:color="auto"/>
              <w:right w:val="nil"/>
            </w:tcBorders>
            <w:shd w:val="clear" w:color="000000" w:fill="FFFFFF"/>
            <w:vAlign w:val="center"/>
            <w:hideMark/>
          </w:tcPr>
          <w:p w14:paraId="432E39E1"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Cemetery</w:t>
            </w:r>
          </w:p>
        </w:tc>
        <w:tc>
          <w:tcPr>
            <w:tcW w:w="1595" w:type="dxa"/>
            <w:tcBorders>
              <w:top w:val="nil"/>
              <w:left w:val="single" w:sz="8" w:space="0" w:color="auto"/>
              <w:bottom w:val="single" w:sz="8" w:space="0" w:color="auto"/>
              <w:right w:val="single" w:sz="8" w:space="0" w:color="auto"/>
            </w:tcBorders>
            <w:shd w:val="clear" w:color="000000" w:fill="FFFFFF"/>
            <w:vAlign w:val="center"/>
            <w:hideMark/>
          </w:tcPr>
          <w:p w14:paraId="5F6F5483"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 </w:t>
            </w:r>
          </w:p>
        </w:tc>
        <w:tc>
          <w:tcPr>
            <w:tcW w:w="1170" w:type="dxa"/>
            <w:tcBorders>
              <w:top w:val="nil"/>
              <w:left w:val="nil"/>
              <w:bottom w:val="single" w:sz="8" w:space="0" w:color="auto"/>
              <w:right w:val="dotted" w:sz="4" w:space="0" w:color="auto"/>
            </w:tcBorders>
            <w:shd w:val="clear" w:color="000000" w:fill="FFFFFF"/>
            <w:vAlign w:val="center"/>
            <w:hideMark/>
          </w:tcPr>
          <w:p w14:paraId="4D0A1562"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59.7</w:t>
            </w:r>
          </w:p>
        </w:tc>
        <w:tc>
          <w:tcPr>
            <w:tcW w:w="1695" w:type="dxa"/>
            <w:tcBorders>
              <w:top w:val="nil"/>
              <w:left w:val="nil"/>
              <w:bottom w:val="single" w:sz="8" w:space="0" w:color="auto"/>
              <w:right w:val="single" w:sz="8" w:space="0" w:color="auto"/>
            </w:tcBorders>
            <w:shd w:val="clear" w:color="000000" w:fill="FFFFFF"/>
            <w:vAlign w:val="center"/>
            <w:hideMark/>
          </w:tcPr>
          <w:p w14:paraId="16E32ABE"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0.7</w:t>
            </w:r>
          </w:p>
        </w:tc>
        <w:tc>
          <w:tcPr>
            <w:tcW w:w="1051" w:type="dxa"/>
            <w:tcBorders>
              <w:top w:val="nil"/>
              <w:left w:val="nil"/>
              <w:bottom w:val="single" w:sz="8" w:space="0" w:color="auto"/>
              <w:right w:val="dotted" w:sz="4" w:space="0" w:color="auto"/>
            </w:tcBorders>
            <w:shd w:val="clear" w:color="000000" w:fill="FFFFFF"/>
            <w:vAlign w:val="center"/>
            <w:hideMark/>
          </w:tcPr>
          <w:p w14:paraId="23EB8235"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8.0</w:t>
            </w:r>
          </w:p>
        </w:tc>
        <w:tc>
          <w:tcPr>
            <w:tcW w:w="1156" w:type="dxa"/>
            <w:tcBorders>
              <w:top w:val="nil"/>
              <w:left w:val="nil"/>
              <w:bottom w:val="single" w:sz="8" w:space="0" w:color="auto"/>
              <w:right w:val="single" w:sz="8" w:space="0" w:color="auto"/>
            </w:tcBorders>
            <w:shd w:val="clear" w:color="000000" w:fill="FFFFFF"/>
            <w:vAlign w:val="center"/>
            <w:hideMark/>
          </w:tcPr>
          <w:p w14:paraId="1CEEF429"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0.2</w:t>
            </w:r>
          </w:p>
        </w:tc>
        <w:tc>
          <w:tcPr>
            <w:tcW w:w="1131" w:type="dxa"/>
            <w:tcBorders>
              <w:top w:val="nil"/>
              <w:left w:val="nil"/>
              <w:bottom w:val="single" w:sz="8" w:space="0" w:color="auto"/>
              <w:right w:val="dotted" w:sz="4" w:space="0" w:color="auto"/>
            </w:tcBorders>
            <w:shd w:val="clear" w:color="000000" w:fill="FFFFFF"/>
            <w:vAlign w:val="center"/>
            <w:hideMark/>
          </w:tcPr>
          <w:p w14:paraId="1619989F"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17.8</w:t>
            </w:r>
          </w:p>
        </w:tc>
        <w:tc>
          <w:tcPr>
            <w:tcW w:w="1156" w:type="dxa"/>
            <w:tcBorders>
              <w:top w:val="nil"/>
              <w:left w:val="nil"/>
              <w:bottom w:val="single" w:sz="8" w:space="0" w:color="auto"/>
              <w:right w:val="single" w:sz="8" w:space="0" w:color="auto"/>
            </w:tcBorders>
            <w:shd w:val="clear" w:color="000000" w:fill="FFFFFF"/>
            <w:vAlign w:val="center"/>
            <w:hideMark/>
          </w:tcPr>
          <w:p w14:paraId="6F00C96D"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0.2</w:t>
            </w:r>
          </w:p>
        </w:tc>
        <w:tc>
          <w:tcPr>
            <w:tcW w:w="1030" w:type="dxa"/>
            <w:tcBorders>
              <w:top w:val="nil"/>
              <w:left w:val="nil"/>
              <w:bottom w:val="single" w:sz="8" w:space="0" w:color="auto"/>
              <w:right w:val="dotted" w:sz="4" w:space="0" w:color="auto"/>
            </w:tcBorders>
            <w:shd w:val="clear" w:color="000000" w:fill="FFFFFF"/>
            <w:vAlign w:val="center"/>
            <w:hideMark/>
          </w:tcPr>
          <w:p w14:paraId="0C3C473F"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85.5</w:t>
            </w:r>
          </w:p>
        </w:tc>
        <w:tc>
          <w:tcPr>
            <w:tcW w:w="1170" w:type="dxa"/>
            <w:tcBorders>
              <w:top w:val="nil"/>
              <w:left w:val="nil"/>
              <w:bottom w:val="single" w:sz="8" w:space="0" w:color="auto"/>
              <w:right w:val="single" w:sz="8" w:space="0" w:color="auto"/>
            </w:tcBorders>
            <w:shd w:val="clear" w:color="000000" w:fill="FFFFFF"/>
            <w:vAlign w:val="center"/>
            <w:hideMark/>
          </w:tcPr>
          <w:p w14:paraId="7F85FE0B"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0.4</w:t>
            </w:r>
          </w:p>
        </w:tc>
      </w:tr>
      <w:tr w:rsidR="008B4D33" w14:paraId="458537DF" w14:textId="77777777" w:rsidTr="0056032F">
        <w:trPr>
          <w:trHeight w:val="315"/>
        </w:trPr>
        <w:tc>
          <w:tcPr>
            <w:tcW w:w="1256" w:type="dxa"/>
            <w:tcBorders>
              <w:top w:val="nil"/>
              <w:left w:val="single" w:sz="8" w:space="0" w:color="auto"/>
              <w:bottom w:val="single" w:sz="8" w:space="0" w:color="auto"/>
              <w:right w:val="nil"/>
            </w:tcBorders>
            <w:shd w:val="clear" w:color="000000" w:fill="FFFFFF"/>
            <w:vAlign w:val="center"/>
            <w:hideMark/>
          </w:tcPr>
          <w:p w14:paraId="2D01389D"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Extractive</w:t>
            </w:r>
          </w:p>
        </w:tc>
        <w:tc>
          <w:tcPr>
            <w:tcW w:w="1595" w:type="dxa"/>
            <w:tcBorders>
              <w:top w:val="nil"/>
              <w:left w:val="single" w:sz="8" w:space="0" w:color="auto"/>
              <w:bottom w:val="single" w:sz="8" w:space="0" w:color="auto"/>
              <w:right w:val="single" w:sz="8" w:space="0" w:color="auto"/>
            </w:tcBorders>
            <w:shd w:val="clear" w:color="000000" w:fill="FFFFFF"/>
            <w:vAlign w:val="center"/>
            <w:hideMark/>
          </w:tcPr>
          <w:p w14:paraId="22E5B7E7"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 </w:t>
            </w:r>
          </w:p>
        </w:tc>
        <w:tc>
          <w:tcPr>
            <w:tcW w:w="1170" w:type="dxa"/>
            <w:tcBorders>
              <w:top w:val="nil"/>
              <w:left w:val="nil"/>
              <w:bottom w:val="single" w:sz="8" w:space="0" w:color="auto"/>
              <w:right w:val="dotted" w:sz="4" w:space="0" w:color="auto"/>
            </w:tcBorders>
            <w:shd w:val="clear" w:color="000000" w:fill="FFFFFF"/>
            <w:vAlign w:val="center"/>
            <w:hideMark/>
          </w:tcPr>
          <w:p w14:paraId="61CCDCBA"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0.0</w:t>
            </w:r>
          </w:p>
        </w:tc>
        <w:tc>
          <w:tcPr>
            <w:tcW w:w="1695" w:type="dxa"/>
            <w:tcBorders>
              <w:top w:val="nil"/>
              <w:left w:val="nil"/>
              <w:bottom w:val="single" w:sz="8" w:space="0" w:color="auto"/>
              <w:right w:val="single" w:sz="8" w:space="0" w:color="auto"/>
            </w:tcBorders>
            <w:shd w:val="clear" w:color="000000" w:fill="FFFFFF"/>
            <w:vAlign w:val="center"/>
            <w:hideMark/>
          </w:tcPr>
          <w:p w14:paraId="0B3CB42C"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0.0</w:t>
            </w:r>
          </w:p>
        </w:tc>
        <w:tc>
          <w:tcPr>
            <w:tcW w:w="1051" w:type="dxa"/>
            <w:tcBorders>
              <w:top w:val="nil"/>
              <w:left w:val="nil"/>
              <w:bottom w:val="single" w:sz="8" w:space="0" w:color="auto"/>
              <w:right w:val="dotted" w:sz="4" w:space="0" w:color="auto"/>
            </w:tcBorders>
            <w:shd w:val="clear" w:color="000000" w:fill="FFFFFF"/>
            <w:vAlign w:val="center"/>
            <w:hideMark/>
          </w:tcPr>
          <w:p w14:paraId="32D8C557"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0.0</w:t>
            </w:r>
          </w:p>
        </w:tc>
        <w:tc>
          <w:tcPr>
            <w:tcW w:w="1156" w:type="dxa"/>
            <w:tcBorders>
              <w:top w:val="nil"/>
              <w:left w:val="nil"/>
              <w:bottom w:val="single" w:sz="8" w:space="0" w:color="auto"/>
              <w:right w:val="single" w:sz="8" w:space="0" w:color="auto"/>
            </w:tcBorders>
            <w:shd w:val="clear" w:color="000000" w:fill="FFFFFF"/>
            <w:vAlign w:val="center"/>
            <w:hideMark/>
          </w:tcPr>
          <w:p w14:paraId="41176DC7"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0.0</w:t>
            </w:r>
          </w:p>
        </w:tc>
        <w:tc>
          <w:tcPr>
            <w:tcW w:w="1131" w:type="dxa"/>
            <w:tcBorders>
              <w:top w:val="nil"/>
              <w:left w:val="nil"/>
              <w:bottom w:val="single" w:sz="8" w:space="0" w:color="auto"/>
              <w:right w:val="dotted" w:sz="4" w:space="0" w:color="auto"/>
            </w:tcBorders>
            <w:shd w:val="clear" w:color="000000" w:fill="FFFFFF"/>
            <w:vAlign w:val="center"/>
            <w:hideMark/>
          </w:tcPr>
          <w:p w14:paraId="3ADB3699"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0.0</w:t>
            </w:r>
          </w:p>
        </w:tc>
        <w:tc>
          <w:tcPr>
            <w:tcW w:w="1156" w:type="dxa"/>
            <w:tcBorders>
              <w:top w:val="nil"/>
              <w:left w:val="nil"/>
              <w:bottom w:val="single" w:sz="8" w:space="0" w:color="auto"/>
              <w:right w:val="single" w:sz="8" w:space="0" w:color="auto"/>
            </w:tcBorders>
            <w:shd w:val="clear" w:color="000000" w:fill="FFFFFF"/>
            <w:vAlign w:val="center"/>
            <w:hideMark/>
          </w:tcPr>
          <w:p w14:paraId="06CA541E"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0.0</w:t>
            </w:r>
          </w:p>
        </w:tc>
        <w:tc>
          <w:tcPr>
            <w:tcW w:w="1030" w:type="dxa"/>
            <w:tcBorders>
              <w:top w:val="nil"/>
              <w:left w:val="nil"/>
              <w:bottom w:val="single" w:sz="8" w:space="0" w:color="auto"/>
              <w:right w:val="dotted" w:sz="4" w:space="0" w:color="auto"/>
            </w:tcBorders>
            <w:shd w:val="clear" w:color="000000" w:fill="FFFFFF"/>
            <w:vAlign w:val="center"/>
            <w:hideMark/>
          </w:tcPr>
          <w:p w14:paraId="1B09AFC8"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0.0</w:t>
            </w:r>
          </w:p>
        </w:tc>
        <w:tc>
          <w:tcPr>
            <w:tcW w:w="1170" w:type="dxa"/>
            <w:tcBorders>
              <w:top w:val="nil"/>
              <w:left w:val="nil"/>
              <w:bottom w:val="single" w:sz="8" w:space="0" w:color="auto"/>
              <w:right w:val="single" w:sz="8" w:space="0" w:color="auto"/>
            </w:tcBorders>
            <w:shd w:val="clear" w:color="000000" w:fill="FFFFFF"/>
            <w:vAlign w:val="center"/>
            <w:hideMark/>
          </w:tcPr>
          <w:p w14:paraId="5DA95DED"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0.0</w:t>
            </w:r>
          </w:p>
        </w:tc>
      </w:tr>
      <w:tr w:rsidR="008B4D33" w14:paraId="44BD4DE5" w14:textId="77777777" w:rsidTr="0056032F">
        <w:trPr>
          <w:trHeight w:val="315"/>
        </w:trPr>
        <w:tc>
          <w:tcPr>
            <w:tcW w:w="1256"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22BD39A2"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Developed</w:t>
            </w:r>
          </w:p>
        </w:tc>
        <w:tc>
          <w:tcPr>
            <w:tcW w:w="1595" w:type="dxa"/>
            <w:tcBorders>
              <w:top w:val="nil"/>
              <w:left w:val="nil"/>
              <w:bottom w:val="nil"/>
              <w:right w:val="single" w:sz="8" w:space="0" w:color="auto"/>
            </w:tcBorders>
            <w:shd w:val="clear" w:color="000000" w:fill="FFFFFF"/>
            <w:vAlign w:val="center"/>
            <w:hideMark/>
          </w:tcPr>
          <w:p w14:paraId="5058CA9A" w14:textId="77777777" w:rsidR="008B4D33" w:rsidRPr="00687645" w:rsidRDefault="008B4D33">
            <w:pPr>
              <w:jc w:val="center"/>
              <w:rPr>
                <w:rFonts w:ascii="Calibri" w:hAnsi="Calibri" w:cs="Calibri"/>
                <w:i/>
                <w:iCs/>
                <w:color w:val="000000"/>
                <w:sz w:val="22"/>
                <w:szCs w:val="22"/>
              </w:rPr>
            </w:pPr>
            <w:r w:rsidRPr="00687645">
              <w:rPr>
                <w:rFonts w:ascii="Calibri" w:hAnsi="Calibri" w:cs="Calibri"/>
                <w:i/>
                <w:iCs/>
                <w:color w:val="000000"/>
                <w:sz w:val="22"/>
                <w:szCs w:val="22"/>
              </w:rPr>
              <w:t>Total Developed</w:t>
            </w:r>
          </w:p>
        </w:tc>
        <w:tc>
          <w:tcPr>
            <w:tcW w:w="1170" w:type="dxa"/>
            <w:tcBorders>
              <w:top w:val="nil"/>
              <w:left w:val="nil"/>
              <w:bottom w:val="single" w:sz="8" w:space="0" w:color="auto"/>
              <w:right w:val="dotted" w:sz="4" w:space="0" w:color="auto"/>
            </w:tcBorders>
            <w:shd w:val="clear" w:color="000000" w:fill="FFFFFF"/>
            <w:vAlign w:val="center"/>
            <w:hideMark/>
          </w:tcPr>
          <w:p w14:paraId="79614C1C" w14:textId="77777777" w:rsidR="008B4D33" w:rsidRPr="00687645" w:rsidRDefault="008B4D33">
            <w:pPr>
              <w:jc w:val="center"/>
              <w:rPr>
                <w:rFonts w:ascii="Calibri" w:hAnsi="Calibri" w:cs="Calibri"/>
                <w:i/>
                <w:iCs/>
                <w:color w:val="000000"/>
                <w:sz w:val="22"/>
                <w:szCs w:val="22"/>
              </w:rPr>
            </w:pPr>
            <w:r w:rsidRPr="00687645">
              <w:rPr>
                <w:rFonts w:ascii="Calibri" w:hAnsi="Calibri" w:cs="Calibri"/>
                <w:i/>
                <w:iCs/>
                <w:color w:val="000000"/>
                <w:sz w:val="22"/>
                <w:szCs w:val="22"/>
              </w:rPr>
              <w:t>2176.8</w:t>
            </w:r>
          </w:p>
        </w:tc>
        <w:tc>
          <w:tcPr>
            <w:tcW w:w="1695" w:type="dxa"/>
            <w:tcBorders>
              <w:top w:val="nil"/>
              <w:left w:val="nil"/>
              <w:bottom w:val="single" w:sz="8" w:space="0" w:color="auto"/>
              <w:right w:val="single" w:sz="8" w:space="0" w:color="auto"/>
            </w:tcBorders>
            <w:shd w:val="clear" w:color="000000" w:fill="FFFFFF"/>
            <w:vAlign w:val="center"/>
            <w:hideMark/>
          </w:tcPr>
          <w:p w14:paraId="24B1CA08" w14:textId="77777777" w:rsidR="008B4D33" w:rsidRPr="00687645" w:rsidRDefault="008B4D33">
            <w:pPr>
              <w:jc w:val="center"/>
              <w:rPr>
                <w:rFonts w:ascii="Calibri" w:hAnsi="Calibri" w:cs="Calibri"/>
                <w:i/>
                <w:iCs/>
                <w:color w:val="000000"/>
                <w:sz w:val="22"/>
                <w:szCs w:val="22"/>
              </w:rPr>
            </w:pPr>
            <w:r w:rsidRPr="00687645">
              <w:rPr>
                <w:rFonts w:ascii="Calibri" w:hAnsi="Calibri" w:cs="Calibri"/>
                <w:i/>
                <w:iCs/>
                <w:color w:val="000000"/>
                <w:sz w:val="22"/>
                <w:szCs w:val="22"/>
              </w:rPr>
              <w:t>27.2</w:t>
            </w:r>
          </w:p>
        </w:tc>
        <w:tc>
          <w:tcPr>
            <w:tcW w:w="1051" w:type="dxa"/>
            <w:tcBorders>
              <w:top w:val="nil"/>
              <w:left w:val="nil"/>
              <w:bottom w:val="single" w:sz="8" w:space="0" w:color="auto"/>
              <w:right w:val="dotted" w:sz="4" w:space="0" w:color="auto"/>
            </w:tcBorders>
            <w:shd w:val="clear" w:color="000000" w:fill="FFFFFF"/>
            <w:vAlign w:val="center"/>
            <w:hideMark/>
          </w:tcPr>
          <w:p w14:paraId="53A0521F" w14:textId="77777777" w:rsidR="008B4D33" w:rsidRPr="00687645" w:rsidRDefault="008B4D33">
            <w:pPr>
              <w:jc w:val="center"/>
              <w:rPr>
                <w:rFonts w:ascii="Calibri" w:hAnsi="Calibri" w:cs="Calibri"/>
                <w:i/>
                <w:iCs/>
                <w:color w:val="000000"/>
                <w:sz w:val="22"/>
                <w:szCs w:val="22"/>
              </w:rPr>
            </w:pPr>
            <w:r w:rsidRPr="00687645">
              <w:rPr>
                <w:rFonts w:ascii="Calibri" w:hAnsi="Calibri" w:cs="Calibri"/>
                <w:i/>
                <w:iCs/>
                <w:color w:val="000000"/>
                <w:sz w:val="22"/>
                <w:szCs w:val="22"/>
              </w:rPr>
              <w:t>1180.8</w:t>
            </w:r>
          </w:p>
        </w:tc>
        <w:tc>
          <w:tcPr>
            <w:tcW w:w="1156" w:type="dxa"/>
            <w:tcBorders>
              <w:top w:val="nil"/>
              <w:left w:val="nil"/>
              <w:bottom w:val="single" w:sz="8" w:space="0" w:color="auto"/>
              <w:right w:val="single" w:sz="8" w:space="0" w:color="auto"/>
            </w:tcBorders>
            <w:shd w:val="clear" w:color="000000" w:fill="FFFFFF"/>
            <w:vAlign w:val="center"/>
            <w:hideMark/>
          </w:tcPr>
          <w:p w14:paraId="487B5876" w14:textId="77777777" w:rsidR="008B4D33" w:rsidRPr="00687645" w:rsidRDefault="008B4D33">
            <w:pPr>
              <w:jc w:val="center"/>
              <w:rPr>
                <w:rFonts w:ascii="Calibri" w:hAnsi="Calibri" w:cs="Calibri"/>
                <w:i/>
                <w:iCs/>
                <w:color w:val="000000"/>
                <w:sz w:val="22"/>
                <w:szCs w:val="22"/>
              </w:rPr>
            </w:pPr>
            <w:r w:rsidRPr="00687645">
              <w:rPr>
                <w:rFonts w:ascii="Calibri" w:hAnsi="Calibri" w:cs="Calibri"/>
                <w:i/>
                <w:iCs/>
                <w:color w:val="000000"/>
                <w:sz w:val="22"/>
                <w:szCs w:val="22"/>
              </w:rPr>
              <w:t>35.5</w:t>
            </w:r>
          </w:p>
        </w:tc>
        <w:tc>
          <w:tcPr>
            <w:tcW w:w="1131" w:type="dxa"/>
            <w:tcBorders>
              <w:top w:val="nil"/>
              <w:left w:val="nil"/>
              <w:bottom w:val="single" w:sz="8" w:space="0" w:color="auto"/>
              <w:right w:val="dotted" w:sz="4" w:space="0" w:color="auto"/>
            </w:tcBorders>
            <w:shd w:val="clear" w:color="000000" w:fill="FFFFFF"/>
            <w:vAlign w:val="center"/>
            <w:hideMark/>
          </w:tcPr>
          <w:p w14:paraId="3EFD819B" w14:textId="77777777" w:rsidR="008B4D33" w:rsidRPr="00687645" w:rsidRDefault="008B4D33">
            <w:pPr>
              <w:jc w:val="center"/>
              <w:rPr>
                <w:rFonts w:ascii="Calibri" w:hAnsi="Calibri" w:cs="Calibri"/>
                <w:i/>
                <w:iCs/>
                <w:color w:val="000000"/>
                <w:sz w:val="22"/>
                <w:szCs w:val="22"/>
              </w:rPr>
            </w:pPr>
            <w:r w:rsidRPr="00687645">
              <w:rPr>
                <w:rFonts w:ascii="Calibri" w:hAnsi="Calibri" w:cs="Calibri"/>
                <w:i/>
                <w:iCs/>
                <w:color w:val="000000"/>
                <w:sz w:val="22"/>
                <w:szCs w:val="22"/>
              </w:rPr>
              <w:t>4653.0</w:t>
            </w:r>
          </w:p>
        </w:tc>
        <w:tc>
          <w:tcPr>
            <w:tcW w:w="1156" w:type="dxa"/>
            <w:tcBorders>
              <w:top w:val="nil"/>
              <w:left w:val="nil"/>
              <w:bottom w:val="single" w:sz="8" w:space="0" w:color="auto"/>
              <w:right w:val="single" w:sz="8" w:space="0" w:color="auto"/>
            </w:tcBorders>
            <w:shd w:val="clear" w:color="000000" w:fill="FFFFFF"/>
            <w:vAlign w:val="center"/>
            <w:hideMark/>
          </w:tcPr>
          <w:p w14:paraId="1E61EFE0" w14:textId="77777777" w:rsidR="008B4D33" w:rsidRPr="00687645" w:rsidRDefault="008B4D33">
            <w:pPr>
              <w:jc w:val="center"/>
              <w:rPr>
                <w:rFonts w:ascii="Calibri" w:hAnsi="Calibri" w:cs="Calibri"/>
                <w:i/>
                <w:iCs/>
                <w:color w:val="000000"/>
                <w:sz w:val="22"/>
                <w:szCs w:val="22"/>
              </w:rPr>
            </w:pPr>
            <w:r w:rsidRPr="00687645">
              <w:rPr>
                <w:rFonts w:ascii="Calibri" w:hAnsi="Calibri" w:cs="Calibri"/>
                <w:i/>
                <w:iCs/>
                <w:color w:val="000000"/>
                <w:sz w:val="22"/>
                <w:szCs w:val="22"/>
              </w:rPr>
              <w:t>45.0</w:t>
            </w:r>
          </w:p>
        </w:tc>
        <w:tc>
          <w:tcPr>
            <w:tcW w:w="1030" w:type="dxa"/>
            <w:tcBorders>
              <w:top w:val="nil"/>
              <w:left w:val="nil"/>
              <w:bottom w:val="single" w:sz="8" w:space="0" w:color="auto"/>
              <w:right w:val="dotted" w:sz="4" w:space="0" w:color="auto"/>
            </w:tcBorders>
            <w:shd w:val="clear" w:color="000000" w:fill="FFFFFF"/>
            <w:vAlign w:val="center"/>
            <w:hideMark/>
          </w:tcPr>
          <w:p w14:paraId="2E3C32AD" w14:textId="77777777" w:rsidR="008B4D33" w:rsidRPr="00687645" w:rsidRDefault="008B4D33">
            <w:pPr>
              <w:jc w:val="center"/>
              <w:rPr>
                <w:rFonts w:ascii="Calibri" w:hAnsi="Calibri" w:cs="Calibri"/>
                <w:i/>
                <w:iCs/>
                <w:color w:val="000000"/>
                <w:sz w:val="22"/>
                <w:szCs w:val="22"/>
              </w:rPr>
            </w:pPr>
            <w:r w:rsidRPr="00687645">
              <w:rPr>
                <w:rFonts w:ascii="Calibri" w:hAnsi="Calibri" w:cs="Calibri"/>
                <w:i/>
                <w:iCs/>
                <w:color w:val="000000"/>
                <w:sz w:val="22"/>
                <w:szCs w:val="22"/>
              </w:rPr>
              <w:t>8010.6</w:t>
            </w:r>
          </w:p>
        </w:tc>
        <w:tc>
          <w:tcPr>
            <w:tcW w:w="1170" w:type="dxa"/>
            <w:tcBorders>
              <w:top w:val="nil"/>
              <w:left w:val="nil"/>
              <w:bottom w:val="single" w:sz="8" w:space="0" w:color="auto"/>
              <w:right w:val="single" w:sz="8" w:space="0" w:color="auto"/>
            </w:tcBorders>
            <w:shd w:val="clear" w:color="000000" w:fill="FFFFFF"/>
            <w:vAlign w:val="center"/>
            <w:hideMark/>
          </w:tcPr>
          <w:p w14:paraId="5670E991" w14:textId="77777777" w:rsidR="008B4D33" w:rsidRPr="00687645" w:rsidRDefault="008B4D33">
            <w:pPr>
              <w:jc w:val="center"/>
              <w:rPr>
                <w:rFonts w:ascii="Calibri" w:hAnsi="Calibri" w:cs="Calibri"/>
                <w:i/>
                <w:iCs/>
                <w:color w:val="000000"/>
                <w:sz w:val="22"/>
                <w:szCs w:val="22"/>
              </w:rPr>
            </w:pPr>
            <w:r w:rsidRPr="00687645">
              <w:rPr>
                <w:rFonts w:ascii="Calibri" w:hAnsi="Calibri" w:cs="Calibri"/>
                <w:i/>
                <w:iCs/>
                <w:color w:val="000000"/>
                <w:sz w:val="22"/>
                <w:szCs w:val="22"/>
              </w:rPr>
              <w:t>37.0</w:t>
            </w:r>
          </w:p>
        </w:tc>
      </w:tr>
      <w:tr w:rsidR="008B4D33" w14:paraId="71A03D4B" w14:textId="77777777" w:rsidTr="0056032F">
        <w:trPr>
          <w:trHeight w:val="315"/>
        </w:trPr>
        <w:tc>
          <w:tcPr>
            <w:tcW w:w="1256" w:type="dxa"/>
            <w:vMerge/>
            <w:tcBorders>
              <w:top w:val="nil"/>
              <w:left w:val="single" w:sz="8" w:space="0" w:color="auto"/>
              <w:bottom w:val="single" w:sz="8" w:space="0" w:color="000000"/>
              <w:right w:val="single" w:sz="8" w:space="0" w:color="auto"/>
            </w:tcBorders>
            <w:vAlign w:val="center"/>
            <w:hideMark/>
          </w:tcPr>
          <w:p w14:paraId="2D622B73" w14:textId="77777777" w:rsidR="008B4D33" w:rsidRDefault="008B4D33">
            <w:pPr>
              <w:rPr>
                <w:rFonts w:ascii="Calibri" w:hAnsi="Calibri" w:cs="Calibri"/>
                <w:color w:val="000000"/>
                <w:sz w:val="22"/>
                <w:szCs w:val="22"/>
              </w:rPr>
            </w:pPr>
          </w:p>
        </w:tc>
        <w:tc>
          <w:tcPr>
            <w:tcW w:w="1595" w:type="dxa"/>
            <w:tcBorders>
              <w:top w:val="nil"/>
              <w:left w:val="nil"/>
              <w:bottom w:val="nil"/>
              <w:right w:val="single" w:sz="8" w:space="0" w:color="auto"/>
            </w:tcBorders>
            <w:shd w:val="clear" w:color="000000" w:fill="FFFFFF"/>
            <w:vAlign w:val="center"/>
            <w:hideMark/>
          </w:tcPr>
          <w:p w14:paraId="2A29ABC7"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Hospitality</w:t>
            </w:r>
          </w:p>
        </w:tc>
        <w:tc>
          <w:tcPr>
            <w:tcW w:w="1170" w:type="dxa"/>
            <w:tcBorders>
              <w:top w:val="nil"/>
              <w:left w:val="nil"/>
              <w:bottom w:val="single" w:sz="8" w:space="0" w:color="auto"/>
              <w:right w:val="dotted" w:sz="4" w:space="0" w:color="auto"/>
            </w:tcBorders>
            <w:shd w:val="clear" w:color="000000" w:fill="FFFFFF"/>
            <w:vAlign w:val="center"/>
            <w:hideMark/>
          </w:tcPr>
          <w:p w14:paraId="1BAFB255"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31.4</w:t>
            </w:r>
          </w:p>
        </w:tc>
        <w:tc>
          <w:tcPr>
            <w:tcW w:w="1695" w:type="dxa"/>
            <w:tcBorders>
              <w:top w:val="nil"/>
              <w:left w:val="nil"/>
              <w:bottom w:val="single" w:sz="8" w:space="0" w:color="auto"/>
              <w:right w:val="single" w:sz="8" w:space="0" w:color="auto"/>
            </w:tcBorders>
            <w:shd w:val="clear" w:color="000000" w:fill="FFFFFF"/>
            <w:vAlign w:val="center"/>
            <w:hideMark/>
          </w:tcPr>
          <w:p w14:paraId="3E5933D5"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0.4</w:t>
            </w:r>
          </w:p>
        </w:tc>
        <w:tc>
          <w:tcPr>
            <w:tcW w:w="1051" w:type="dxa"/>
            <w:tcBorders>
              <w:top w:val="nil"/>
              <w:left w:val="nil"/>
              <w:bottom w:val="single" w:sz="8" w:space="0" w:color="auto"/>
              <w:right w:val="dotted" w:sz="4" w:space="0" w:color="auto"/>
            </w:tcBorders>
            <w:shd w:val="clear" w:color="000000" w:fill="FFFFFF"/>
            <w:vAlign w:val="center"/>
            <w:hideMark/>
          </w:tcPr>
          <w:p w14:paraId="7F263AC2"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9.8</w:t>
            </w:r>
          </w:p>
        </w:tc>
        <w:tc>
          <w:tcPr>
            <w:tcW w:w="1156" w:type="dxa"/>
            <w:tcBorders>
              <w:top w:val="nil"/>
              <w:left w:val="nil"/>
              <w:bottom w:val="single" w:sz="8" w:space="0" w:color="auto"/>
              <w:right w:val="single" w:sz="8" w:space="0" w:color="auto"/>
            </w:tcBorders>
            <w:shd w:val="clear" w:color="000000" w:fill="FFFFFF"/>
            <w:vAlign w:val="center"/>
            <w:hideMark/>
          </w:tcPr>
          <w:p w14:paraId="78A91025"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0.3</w:t>
            </w:r>
          </w:p>
        </w:tc>
        <w:tc>
          <w:tcPr>
            <w:tcW w:w="1131" w:type="dxa"/>
            <w:tcBorders>
              <w:top w:val="nil"/>
              <w:left w:val="nil"/>
              <w:bottom w:val="single" w:sz="8" w:space="0" w:color="auto"/>
              <w:right w:val="dotted" w:sz="4" w:space="0" w:color="auto"/>
            </w:tcBorders>
            <w:shd w:val="clear" w:color="000000" w:fill="FFFFFF"/>
            <w:vAlign w:val="center"/>
            <w:hideMark/>
          </w:tcPr>
          <w:p w14:paraId="08DD5C66"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123.8</w:t>
            </w:r>
          </w:p>
        </w:tc>
        <w:tc>
          <w:tcPr>
            <w:tcW w:w="1156" w:type="dxa"/>
            <w:tcBorders>
              <w:top w:val="nil"/>
              <w:left w:val="nil"/>
              <w:bottom w:val="single" w:sz="8" w:space="0" w:color="auto"/>
              <w:right w:val="single" w:sz="8" w:space="0" w:color="auto"/>
            </w:tcBorders>
            <w:shd w:val="clear" w:color="000000" w:fill="FFFFFF"/>
            <w:vAlign w:val="center"/>
            <w:hideMark/>
          </w:tcPr>
          <w:p w14:paraId="2F2E5965"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1.2</w:t>
            </w:r>
          </w:p>
        </w:tc>
        <w:tc>
          <w:tcPr>
            <w:tcW w:w="1030" w:type="dxa"/>
            <w:tcBorders>
              <w:top w:val="nil"/>
              <w:left w:val="nil"/>
              <w:bottom w:val="single" w:sz="8" w:space="0" w:color="auto"/>
              <w:right w:val="dotted" w:sz="4" w:space="0" w:color="auto"/>
            </w:tcBorders>
            <w:shd w:val="clear" w:color="000000" w:fill="FFFFFF"/>
            <w:vAlign w:val="center"/>
            <w:hideMark/>
          </w:tcPr>
          <w:p w14:paraId="20285534"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165.0</w:t>
            </w:r>
          </w:p>
        </w:tc>
        <w:tc>
          <w:tcPr>
            <w:tcW w:w="1170" w:type="dxa"/>
            <w:tcBorders>
              <w:top w:val="nil"/>
              <w:left w:val="nil"/>
              <w:bottom w:val="single" w:sz="8" w:space="0" w:color="auto"/>
              <w:right w:val="single" w:sz="8" w:space="0" w:color="auto"/>
            </w:tcBorders>
            <w:shd w:val="clear" w:color="000000" w:fill="FFFFFF"/>
            <w:vAlign w:val="center"/>
            <w:hideMark/>
          </w:tcPr>
          <w:p w14:paraId="465979BE"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0.8</w:t>
            </w:r>
          </w:p>
        </w:tc>
      </w:tr>
      <w:tr w:rsidR="008B4D33" w14:paraId="4FFF4FC6" w14:textId="77777777" w:rsidTr="0056032F">
        <w:trPr>
          <w:trHeight w:val="315"/>
        </w:trPr>
        <w:tc>
          <w:tcPr>
            <w:tcW w:w="1256" w:type="dxa"/>
            <w:vMerge/>
            <w:tcBorders>
              <w:top w:val="nil"/>
              <w:left w:val="single" w:sz="8" w:space="0" w:color="auto"/>
              <w:bottom w:val="single" w:sz="8" w:space="0" w:color="000000"/>
              <w:right w:val="single" w:sz="8" w:space="0" w:color="auto"/>
            </w:tcBorders>
            <w:vAlign w:val="center"/>
            <w:hideMark/>
          </w:tcPr>
          <w:p w14:paraId="2B5C6D32" w14:textId="77777777" w:rsidR="008B4D33" w:rsidRDefault="008B4D33">
            <w:pPr>
              <w:rPr>
                <w:rFonts w:ascii="Calibri" w:hAnsi="Calibri" w:cs="Calibri"/>
                <w:color w:val="000000"/>
                <w:sz w:val="22"/>
                <w:szCs w:val="22"/>
              </w:rPr>
            </w:pPr>
          </w:p>
        </w:tc>
        <w:tc>
          <w:tcPr>
            <w:tcW w:w="1595" w:type="dxa"/>
            <w:tcBorders>
              <w:top w:val="nil"/>
              <w:left w:val="nil"/>
              <w:bottom w:val="nil"/>
              <w:right w:val="single" w:sz="8" w:space="0" w:color="auto"/>
            </w:tcBorders>
            <w:shd w:val="clear" w:color="000000" w:fill="FFFFFF"/>
            <w:vAlign w:val="center"/>
            <w:hideMark/>
          </w:tcPr>
          <w:p w14:paraId="13D5CFE3"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Industrial</w:t>
            </w:r>
          </w:p>
        </w:tc>
        <w:tc>
          <w:tcPr>
            <w:tcW w:w="1170" w:type="dxa"/>
            <w:tcBorders>
              <w:top w:val="nil"/>
              <w:left w:val="nil"/>
              <w:bottom w:val="single" w:sz="8" w:space="0" w:color="auto"/>
              <w:right w:val="dotted" w:sz="4" w:space="0" w:color="auto"/>
            </w:tcBorders>
            <w:shd w:val="clear" w:color="000000" w:fill="FFFFFF"/>
            <w:vAlign w:val="center"/>
            <w:hideMark/>
          </w:tcPr>
          <w:p w14:paraId="0C94FE33"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150.8</w:t>
            </w:r>
          </w:p>
        </w:tc>
        <w:tc>
          <w:tcPr>
            <w:tcW w:w="1695" w:type="dxa"/>
            <w:tcBorders>
              <w:top w:val="nil"/>
              <w:left w:val="nil"/>
              <w:bottom w:val="single" w:sz="8" w:space="0" w:color="auto"/>
              <w:right w:val="single" w:sz="8" w:space="0" w:color="auto"/>
            </w:tcBorders>
            <w:shd w:val="clear" w:color="000000" w:fill="FFFFFF"/>
            <w:vAlign w:val="center"/>
            <w:hideMark/>
          </w:tcPr>
          <w:p w14:paraId="4AE8AFFC"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1.9</w:t>
            </w:r>
          </w:p>
        </w:tc>
        <w:tc>
          <w:tcPr>
            <w:tcW w:w="1051" w:type="dxa"/>
            <w:tcBorders>
              <w:top w:val="nil"/>
              <w:left w:val="nil"/>
              <w:bottom w:val="single" w:sz="8" w:space="0" w:color="auto"/>
              <w:right w:val="dotted" w:sz="4" w:space="0" w:color="auto"/>
            </w:tcBorders>
            <w:shd w:val="clear" w:color="000000" w:fill="FFFFFF"/>
            <w:vAlign w:val="center"/>
            <w:hideMark/>
          </w:tcPr>
          <w:p w14:paraId="5BB43EFF"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16.9</w:t>
            </w:r>
          </w:p>
        </w:tc>
        <w:tc>
          <w:tcPr>
            <w:tcW w:w="1156" w:type="dxa"/>
            <w:tcBorders>
              <w:top w:val="nil"/>
              <w:left w:val="nil"/>
              <w:bottom w:val="single" w:sz="8" w:space="0" w:color="auto"/>
              <w:right w:val="single" w:sz="8" w:space="0" w:color="auto"/>
            </w:tcBorders>
            <w:shd w:val="clear" w:color="000000" w:fill="FFFFFF"/>
            <w:vAlign w:val="center"/>
            <w:hideMark/>
          </w:tcPr>
          <w:p w14:paraId="2CE19E6B"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0.5</w:t>
            </w:r>
          </w:p>
        </w:tc>
        <w:tc>
          <w:tcPr>
            <w:tcW w:w="1131" w:type="dxa"/>
            <w:tcBorders>
              <w:top w:val="nil"/>
              <w:left w:val="nil"/>
              <w:bottom w:val="single" w:sz="8" w:space="0" w:color="auto"/>
              <w:right w:val="dotted" w:sz="4" w:space="0" w:color="auto"/>
            </w:tcBorders>
            <w:shd w:val="clear" w:color="000000" w:fill="FFFFFF"/>
            <w:vAlign w:val="center"/>
            <w:hideMark/>
          </w:tcPr>
          <w:p w14:paraId="66874A48"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455.7</w:t>
            </w:r>
          </w:p>
        </w:tc>
        <w:tc>
          <w:tcPr>
            <w:tcW w:w="1156" w:type="dxa"/>
            <w:tcBorders>
              <w:top w:val="nil"/>
              <w:left w:val="nil"/>
              <w:bottom w:val="single" w:sz="8" w:space="0" w:color="auto"/>
              <w:right w:val="single" w:sz="8" w:space="0" w:color="auto"/>
            </w:tcBorders>
            <w:shd w:val="clear" w:color="000000" w:fill="FFFFFF"/>
            <w:vAlign w:val="center"/>
            <w:hideMark/>
          </w:tcPr>
          <w:p w14:paraId="6F399D12"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4.4</w:t>
            </w:r>
          </w:p>
        </w:tc>
        <w:tc>
          <w:tcPr>
            <w:tcW w:w="1030" w:type="dxa"/>
            <w:tcBorders>
              <w:top w:val="nil"/>
              <w:left w:val="nil"/>
              <w:bottom w:val="single" w:sz="8" w:space="0" w:color="auto"/>
              <w:right w:val="dotted" w:sz="4" w:space="0" w:color="auto"/>
            </w:tcBorders>
            <w:shd w:val="clear" w:color="000000" w:fill="FFFFFF"/>
            <w:vAlign w:val="center"/>
            <w:hideMark/>
          </w:tcPr>
          <w:p w14:paraId="104BB17B"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623.4</w:t>
            </w:r>
          </w:p>
        </w:tc>
        <w:tc>
          <w:tcPr>
            <w:tcW w:w="1170" w:type="dxa"/>
            <w:tcBorders>
              <w:top w:val="nil"/>
              <w:left w:val="nil"/>
              <w:bottom w:val="single" w:sz="8" w:space="0" w:color="auto"/>
              <w:right w:val="single" w:sz="8" w:space="0" w:color="auto"/>
            </w:tcBorders>
            <w:shd w:val="clear" w:color="000000" w:fill="FFFFFF"/>
            <w:vAlign w:val="center"/>
            <w:hideMark/>
          </w:tcPr>
          <w:p w14:paraId="42E46B90"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2.9</w:t>
            </w:r>
          </w:p>
        </w:tc>
      </w:tr>
      <w:tr w:rsidR="008B4D33" w14:paraId="371D4FBE" w14:textId="77777777" w:rsidTr="0056032F">
        <w:trPr>
          <w:trHeight w:val="315"/>
        </w:trPr>
        <w:tc>
          <w:tcPr>
            <w:tcW w:w="1256" w:type="dxa"/>
            <w:vMerge/>
            <w:tcBorders>
              <w:top w:val="nil"/>
              <w:left w:val="single" w:sz="8" w:space="0" w:color="auto"/>
              <w:bottom w:val="single" w:sz="8" w:space="0" w:color="000000"/>
              <w:right w:val="single" w:sz="8" w:space="0" w:color="auto"/>
            </w:tcBorders>
            <w:vAlign w:val="center"/>
            <w:hideMark/>
          </w:tcPr>
          <w:p w14:paraId="10A43E51" w14:textId="77777777" w:rsidR="008B4D33" w:rsidRDefault="008B4D33">
            <w:pPr>
              <w:rPr>
                <w:rFonts w:ascii="Calibri" w:hAnsi="Calibri" w:cs="Calibri"/>
                <w:color w:val="000000"/>
                <w:sz w:val="22"/>
                <w:szCs w:val="22"/>
              </w:rPr>
            </w:pPr>
          </w:p>
        </w:tc>
        <w:tc>
          <w:tcPr>
            <w:tcW w:w="1595" w:type="dxa"/>
            <w:tcBorders>
              <w:top w:val="nil"/>
              <w:left w:val="nil"/>
              <w:bottom w:val="nil"/>
              <w:right w:val="single" w:sz="8" w:space="0" w:color="auto"/>
            </w:tcBorders>
            <w:shd w:val="clear" w:color="000000" w:fill="FFFFFF"/>
            <w:vAlign w:val="center"/>
            <w:hideMark/>
          </w:tcPr>
          <w:p w14:paraId="07F765AC"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Institutional</w:t>
            </w:r>
          </w:p>
        </w:tc>
        <w:tc>
          <w:tcPr>
            <w:tcW w:w="1170" w:type="dxa"/>
            <w:tcBorders>
              <w:top w:val="nil"/>
              <w:left w:val="nil"/>
              <w:bottom w:val="single" w:sz="8" w:space="0" w:color="auto"/>
              <w:right w:val="dotted" w:sz="4" w:space="0" w:color="auto"/>
            </w:tcBorders>
            <w:shd w:val="clear" w:color="000000" w:fill="FFFFFF"/>
            <w:vAlign w:val="center"/>
            <w:hideMark/>
          </w:tcPr>
          <w:p w14:paraId="39042C76"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325.0</w:t>
            </w:r>
          </w:p>
        </w:tc>
        <w:tc>
          <w:tcPr>
            <w:tcW w:w="1695" w:type="dxa"/>
            <w:tcBorders>
              <w:top w:val="nil"/>
              <w:left w:val="nil"/>
              <w:bottom w:val="single" w:sz="8" w:space="0" w:color="auto"/>
              <w:right w:val="single" w:sz="8" w:space="0" w:color="auto"/>
            </w:tcBorders>
            <w:shd w:val="clear" w:color="000000" w:fill="FFFFFF"/>
            <w:vAlign w:val="center"/>
            <w:hideMark/>
          </w:tcPr>
          <w:p w14:paraId="702A6E73"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4.1</w:t>
            </w:r>
          </w:p>
        </w:tc>
        <w:tc>
          <w:tcPr>
            <w:tcW w:w="1051" w:type="dxa"/>
            <w:tcBorders>
              <w:top w:val="nil"/>
              <w:left w:val="nil"/>
              <w:bottom w:val="single" w:sz="8" w:space="0" w:color="auto"/>
              <w:right w:val="dotted" w:sz="4" w:space="0" w:color="auto"/>
            </w:tcBorders>
            <w:shd w:val="clear" w:color="000000" w:fill="FFFFFF"/>
            <w:vAlign w:val="center"/>
            <w:hideMark/>
          </w:tcPr>
          <w:p w14:paraId="26DC2BD6"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66.7</w:t>
            </w:r>
          </w:p>
        </w:tc>
        <w:tc>
          <w:tcPr>
            <w:tcW w:w="1156" w:type="dxa"/>
            <w:tcBorders>
              <w:top w:val="nil"/>
              <w:left w:val="nil"/>
              <w:bottom w:val="single" w:sz="8" w:space="0" w:color="auto"/>
              <w:right w:val="single" w:sz="8" w:space="0" w:color="auto"/>
            </w:tcBorders>
            <w:shd w:val="clear" w:color="000000" w:fill="FFFFFF"/>
            <w:vAlign w:val="center"/>
            <w:hideMark/>
          </w:tcPr>
          <w:p w14:paraId="678A8688"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2.0</w:t>
            </w:r>
          </w:p>
        </w:tc>
        <w:tc>
          <w:tcPr>
            <w:tcW w:w="1131" w:type="dxa"/>
            <w:tcBorders>
              <w:top w:val="nil"/>
              <w:left w:val="nil"/>
              <w:bottom w:val="single" w:sz="8" w:space="0" w:color="auto"/>
              <w:right w:val="dotted" w:sz="4" w:space="0" w:color="auto"/>
            </w:tcBorders>
            <w:shd w:val="clear" w:color="000000" w:fill="FFFFFF"/>
            <w:vAlign w:val="center"/>
            <w:hideMark/>
          </w:tcPr>
          <w:p w14:paraId="48580EC9"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284.9</w:t>
            </w:r>
          </w:p>
        </w:tc>
        <w:tc>
          <w:tcPr>
            <w:tcW w:w="1156" w:type="dxa"/>
            <w:tcBorders>
              <w:top w:val="nil"/>
              <w:left w:val="nil"/>
              <w:bottom w:val="single" w:sz="8" w:space="0" w:color="auto"/>
              <w:right w:val="single" w:sz="8" w:space="0" w:color="auto"/>
            </w:tcBorders>
            <w:shd w:val="clear" w:color="000000" w:fill="FFFFFF"/>
            <w:vAlign w:val="center"/>
            <w:hideMark/>
          </w:tcPr>
          <w:p w14:paraId="753C06C3"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2.8</w:t>
            </w:r>
          </w:p>
        </w:tc>
        <w:tc>
          <w:tcPr>
            <w:tcW w:w="1030" w:type="dxa"/>
            <w:tcBorders>
              <w:top w:val="nil"/>
              <w:left w:val="nil"/>
              <w:bottom w:val="single" w:sz="8" w:space="0" w:color="auto"/>
              <w:right w:val="dotted" w:sz="4" w:space="0" w:color="auto"/>
            </w:tcBorders>
            <w:shd w:val="clear" w:color="000000" w:fill="FFFFFF"/>
            <w:vAlign w:val="center"/>
            <w:hideMark/>
          </w:tcPr>
          <w:p w14:paraId="1ADC6D90"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676.6</w:t>
            </w:r>
          </w:p>
        </w:tc>
        <w:tc>
          <w:tcPr>
            <w:tcW w:w="1170" w:type="dxa"/>
            <w:tcBorders>
              <w:top w:val="nil"/>
              <w:left w:val="nil"/>
              <w:bottom w:val="single" w:sz="8" w:space="0" w:color="auto"/>
              <w:right w:val="single" w:sz="8" w:space="0" w:color="auto"/>
            </w:tcBorders>
            <w:shd w:val="clear" w:color="000000" w:fill="FFFFFF"/>
            <w:vAlign w:val="center"/>
            <w:hideMark/>
          </w:tcPr>
          <w:p w14:paraId="1563F792"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3.1</w:t>
            </w:r>
          </w:p>
        </w:tc>
      </w:tr>
      <w:tr w:rsidR="008B4D33" w14:paraId="12163E4F" w14:textId="77777777" w:rsidTr="0056032F">
        <w:trPr>
          <w:trHeight w:val="315"/>
        </w:trPr>
        <w:tc>
          <w:tcPr>
            <w:tcW w:w="1256" w:type="dxa"/>
            <w:vMerge/>
            <w:tcBorders>
              <w:top w:val="nil"/>
              <w:left w:val="single" w:sz="8" w:space="0" w:color="auto"/>
              <w:bottom w:val="single" w:sz="8" w:space="0" w:color="000000"/>
              <w:right w:val="single" w:sz="8" w:space="0" w:color="auto"/>
            </w:tcBorders>
            <w:vAlign w:val="center"/>
            <w:hideMark/>
          </w:tcPr>
          <w:p w14:paraId="7A88EC3C" w14:textId="77777777" w:rsidR="008B4D33" w:rsidRDefault="008B4D33">
            <w:pPr>
              <w:rPr>
                <w:rFonts w:ascii="Calibri" w:hAnsi="Calibri" w:cs="Calibri"/>
                <w:color w:val="000000"/>
                <w:sz w:val="22"/>
                <w:szCs w:val="22"/>
              </w:rPr>
            </w:pPr>
          </w:p>
        </w:tc>
        <w:tc>
          <w:tcPr>
            <w:tcW w:w="1595" w:type="dxa"/>
            <w:tcBorders>
              <w:top w:val="nil"/>
              <w:left w:val="nil"/>
              <w:bottom w:val="nil"/>
              <w:right w:val="single" w:sz="8" w:space="0" w:color="auto"/>
            </w:tcBorders>
            <w:shd w:val="clear" w:color="000000" w:fill="FFFFFF"/>
            <w:vAlign w:val="center"/>
            <w:hideMark/>
          </w:tcPr>
          <w:p w14:paraId="71DBAD2F"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Medical</w:t>
            </w:r>
          </w:p>
        </w:tc>
        <w:tc>
          <w:tcPr>
            <w:tcW w:w="1170" w:type="dxa"/>
            <w:tcBorders>
              <w:top w:val="nil"/>
              <w:left w:val="nil"/>
              <w:bottom w:val="single" w:sz="8" w:space="0" w:color="auto"/>
              <w:right w:val="dotted" w:sz="4" w:space="0" w:color="auto"/>
            </w:tcBorders>
            <w:shd w:val="clear" w:color="000000" w:fill="FFFFFF"/>
            <w:vAlign w:val="center"/>
            <w:hideMark/>
          </w:tcPr>
          <w:p w14:paraId="138FD9CA"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195.0</w:t>
            </w:r>
          </w:p>
        </w:tc>
        <w:tc>
          <w:tcPr>
            <w:tcW w:w="1695" w:type="dxa"/>
            <w:tcBorders>
              <w:top w:val="nil"/>
              <w:left w:val="nil"/>
              <w:bottom w:val="single" w:sz="8" w:space="0" w:color="auto"/>
              <w:right w:val="single" w:sz="8" w:space="0" w:color="auto"/>
            </w:tcBorders>
            <w:shd w:val="clear" w:color="000000" w:fill="FFFFFF"/>
            <w:vAlign w:val="center"/>
            <w:hideMark/>
          </w:tcPr>
          <w:p w14:paraId="10A2DBA6"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2.4</w:t>
            </w:r>
          </w:p>
        </w:tc>
        <w:tc>
          <w:tcPr>
            <w:tcW w:w="1051" w:type="dxa"/>
            <w:tcBorders>
              <w:top w:val="nil"/>
              <w:left w:val="nil"/>
              <w:bottom w:val="single" w:sz="8" w:space="0" w:color="auto"/>
              <w:right w:val="dotted" w:sz="4" w:space="0" w:color="auto"/>
            </w:tcBorders>
            <w:shd w:val="clear" w:color="000000" w:fill="FFFFFF"/>
            <w:vAlign w:val="center"/>
            <w:hideMark/>
          </w:tcPr>
          <w:p w14:paraId="52D12ACC"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3.9</w:t>
            </w:r>
          </w:p>
        </w:tc>
        <w:tc>
          <w:tcPr>
            <w:tcW w:w="1156" w:type="dxa"/>
            <w:tcBorders>
              <w:top w:val="nil"/>
              <w:left w:val="nil"/>
              <w:bottom w:val="single" w:sz="8" w:space="0" w:color="auto"/>
              <w:right w:val="single" w:sz="8" w:space="0" w:color="auto"/>
            </w:tcBorders>
            <w:shd w:val="clear" w:color="000000" w:fill="FFFFFF"/>
            <w:vAlign w:val="center"/>
            <w:hideMark/>
          </w:tcPr>
          <w:p w14:paraId="3D63B67E"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0.1</w:t>
            </w:r>
          </w:p>
        </w:tc>
        <w:tc>
          <w:tcPr>
            <w:tcW w:w="1131" w:type="dxa"/>
            <w:tcBorders>
              <w:top w:val="nil"/>
              <w:left w:val="nil"/>
              <w:bottom w:val="single" w:sz="8" w:space="0" w:color="auto"/>
              <w:right w:val="dotted" w:sz="4" w:space="0" w:color="auto"/>
            </w:tcBorders>
            <w:shd w:val="clear" w:color="000000" w:fill="FFFFFF"/>
            <w:vAlign w:val="center"/>
            <w:hideMark/>
          </w:tcPr>
          <w:p w14:paraId="355CC635"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9.9</w:t>
            </w:r>
          </w:p>
        </w:tc>
        <w:tc>
          <w:tcPr>
            <w:tcW w:w="1156" w:type="dxa"/>
            <w:tcBorders>
              <w:top w:val="nil"/>
              <w:left w:val="nil"/>
              <w:bottom w:val="single" w:sz="8" w:space="0" w:color="auto"/>
              <w:right w:val="single" w:sz="8" w:space="0" w:color="auto"/>
            </w:tcBorders>
            <w:shd w:val="clear" w:color="000000" w:fill="FFFFFF"/>
            <w:vAlign w:val="center"/>
            <w:hideMark/>
          </w:tcPr>
          <w:p w14:paraId="432CAF34"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0.1</w:t>
            </w:r>
          </w:p>
        </w:tc>
        <w:tc>
          <w:tcPr>
            <w:tcW w:w="1030" w:type="dxa"/>
            <w:tcBorders>
              <w:top w:val="nil"/>
              <w:left w:val="nil"/>
              <w:bottom w:val="single" w:sz="8" w:space="0" w:color="auto"/>
              <w:right w:val="dotted" w:sz="4" w:space="0" w:color="auto"/>
            </w:tcBorders>
            <w:shd w:val="clear" w:color="000000" w:fill="FFFFFF"/>
            <w:vAlign w:val="center"/>
            <w:hideMark/>
          </w:tcPr>
          <w:p w14:paraId="244A3077"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208.8</w:t>
            </w:r>
          </w:p>
        </w:tc>
        <w:tc>
          <w:tcPr>
            <w:tcW w:w="1170" w:type="dxa"/>
            <w:tcBorders>
              <w:top w:val="nil"/>
              <w:left w:val="nil"/>
              <w:bottom w:val="single" w:sz="8" w:space="0" w:color="auto"/>
              <w:right w:val="single" w:sz="8" w:space="0" w:color="auto"/>
            </w:tcBorders>
            <w:shd w:val="clear" w:color="000000" w:fill="FFFFFF"/>
            <w:vAlign w:val="center"/>
            <w:hideMark/>
          </w:tcPr>
          <w:p w14:paraId="4D31FF26"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1.0</w:t>
            </w:r>
          </w:p>
        </w:tc>
      </w:tr>
      <w:tr w:rsidR="008B4D33" w14:paraId="5F437365" w14:textId="77777777" w:rsidTr="0056032F">
        <w:trPr>
          <w:trHeight w:val="315"/>
        </w:trPr>
        <w:tc>
          <w:tcPr>
            <w:tcW w:w="1256" w:type="dxa"/>
            <w:vMerge/>
            <w:tcBorders>
              <w:top w:val="nil"/>
              <w:left w:val="single" w:sz="8" w:space="0" w:color="auto"/>
              <w:bottom w:val="single" w:sz="8" w:space="0" w:color="000000"/>
              <w:right w:val="single" w:sz="8" w:space="0" w:color="auto"/>
            </w:tcBorders>
            <w:vAlign w:val="center"/>
            <w:hideMark/>
          </w:tcPr>
          <w:p w14:paraId="7A610695" w14:textId="77777777" w:rsidR="008B4D33" w:rsidRDefault="008B4D33">
            <w:pPr>
              <w:rPr>
                <w:rFonts w:ascii="Calibri" w:hAnsi="Calibri" w:cs="Calibri"/>
                <w:color w:val="000000"/>
                <w:sz w:val="22"/>
                <w:szCs w:val="22"/>
              </w:rPr>
            </w:pPr>
          </w:p>
        </w:tc>
        <w:tc>
          <w:tcPr>
            <w:tcW w:w="1595" w:type="dxa"/>
            <w:tcBorders>
              <w:top w:val="nil"/>
              <w:left w:val="nil"/>
              <w:bottom w:val="nil"/>
              <w:right w:val="single" w:sz="8" w:space="0" w:color="auto"/>
            </w:tcBorders>
            <w:shd w:val="clear" w:color="000000" w:fill="FFFFFF"/>
            <w:vAlign w:val="center"/>
            <w:hideMark/>
          </w:tcPr>
          <w:p w14:paraId="77467092"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Mixed Use</w:t>
            </w:r>
          </w:p>
        </w:tc>
        <w:tc>
          <w:tcPr>
            <w:tcW w:w="1170" w:type="dxa"/>
            <w:tcBorders>
              <w:top w:val="nil"/>
              <w:left w:val="nil"/>
              <w:bottom w:val="single" w:sz="8" w:space="0" w:color="auto"/>
              <w:right w:val="dotted" w:sz="4" w:space="0" w:color="auto"/>
            </w:tcBorders>
            <w:shd w:val="clear" w:color="000000" w:fill="FFFFFF"/>
            <w:vAlign w:val="center"/>
            <w:hideMark/>
          </w:tcPr>
          <w:p w14:paraId="64598759"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8.1</w:t>
            </w:r>
          </w:p>
        </w:tc>
        <w:tc>
          <w:tcPr>
            <w:tcW w:w="1695" w:type="dxa"/>
            <w:tcBorders>
              <w:top w:val="nil"/>
              <w:left w:val="nil"/>
              <w:bottom w:val="single" w:sz="8" w:space="0" w:color="auto"/>
              <w:right w:val="single" w:sz="8" w:space="0" w:color="auto"/>
            </w:tcBorders>
            <w:shd w:val="clear" w:color="000000" w:fill="FFFFFF"/>
            <w:vAlign w:val="center"/>
            <w:hideMark/>
          </w:tcPr>
          <w:p w14:paraId="59AA5A57"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0.1</w:t>
            </w:r>
          </w:p>
        </w:tc>
        <w:tc>
          <w:tcPr>
            <w:tcW w:w="1051" w:type="dxa"/>
            <w:tcBorders>
              <w:top w:val="nil"/>
              <w:left w:val="nil"/>
              <w:bottom w:val="single" w:sz="8" w:space="0" w:color="auto"/>
              <w:right w:val="dotted" w:sz="4" w:space="0" w:color="auto"/>
            </w:tcBorders>
            <w:shd w:val="clear" w:color="000000" w:fill="FFFFFF"/>
            <w:vAlign w:val="center"/>
            <w:hideMark/>
          </w:tcPr>
          <w:p w14:paraId="7758A2DB"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2.3</w:t>
            </w:r>
          </w:p>
        </w:tc>
        <w:tc>
          <w:tcPr>
            <w:tcW w:w="1156" w:type="dxa"/>
            <w:tcBorders>
              <w:top w:val="nil"/>
              <w:left w:val="nil"/>
              <w:bottom w:val="single" w:sz="8" w:space="0" w:color="auto"/>
              <w:right w:val="single" w:sz="8" w:space="0" w:color="auto"/>
            </w:tcBorders>
            <w:shd w:val="clear" w:color="000000" w:fill="FFFFFF"/>
            <w:vAlign w:val="center"/>
            <w:hideMark/>
          </w:tcPr>
          <w:p w14:paraId="1E6C90F0"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0.1</w:t>
            </w:r>
          </w:p>
        </w:tc>
        <w:tc>
          <w:tcPr>
            <w:tcW w:w="1131" w:type="dxa"/>
            <w:tcBorders>
              <w:top w:val="nil"/>
              <w:left w:val="nil"/>
              <w:bottom w:val="single" w:sz="8" w:space="0" w:color="auto"/>
              <w:right w:val="dotted" w:sz="4" w:space="0" w:color="auto"/>
            </w:tcBorders>
            <w:shd w:val="clear" w:color="000000" w:fill="FFFFFF"/>
            <w:vAlign w:val="center"/>
            <w:hideMark/>
          </w:tcPr>
          <w:p w14:paraId="460117E3"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14.5</w:t>
            </w:r>
          </w:p>
        </w:tc>
        <w:tc>
          <w:tcPr>
            <w:tcW w:w="1156" w:type="dxa"/>
            <w:tcBorders>
              <w:top w:val="nil"/>
              <w:left w:val="nil"/>
              <w:bottom w:val="single" w:sz="8" w:space="0" w:color="auto"/>
              <w:right w:val="single" w:sz="8" w:space="0" w:color="auto"/>
            </w:tcBorders>
            <w:shd w:val="clear" w:color="000000" w:fill="FFFFFF"/>
            <w:vAlign w:val="center"/>
            <w:hideMark/>
          </w:tcPr>
          <w:p w14:paraId="32FE2AFE"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0.1</w:t>
            </w:r>
          </w:p>
        </w:tc>
        <w:tc>
          <w:tcPr>
            <w:tcW w:w="1030" w:type="dxa"/>
            <w:tcBorders>
              <w:top w:val="nil"/>
              <w:left w:val="nil"/>
              <w:bottom w:val="single" w:sz="8" w:space="0" w:color="auto"/>
              <w:right w:val="dotted" w:sz="4" w:space="0" w:color="auto"/>
            </w:tcBorders>
            <w:shd w:val="clear" w:color="000000" w:fill="FFFFFF"/>
            <w:vAlign w:val="center"/>
            <w:hideMark/>
          </w:tcPr>
          <w:p w14:paraId="5BC42FB5"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24.9</w:t>
            </w:r>
          </w:p>
        </w:tc>
        <w:tc>
          <w:tcPr>
            <w:tcW w:w="1170" w:type="dxa"/>
            <w:tcBorders>
              <w:top w:val="nil"/>
              <w:left w:val="nil"/>
              <w:bottom w:val="single" w:sz="8" w:space="0" w:color="auto"/>
              <w:right w:val="single" w:sz="8" w:space="0" w:color="auto"/>
            </w:tcBorders>
            <w:shd w:val="clear" w:color="000000" w:fill="FFFFFF"/>
            <w:vAlign w:val="center"/>
            <w:hideMark/>
          </w:tcPr>
          <w:p w14:paraId="10672001"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0.1</w:t>
            </w:r>
          </w:p>
        </w:tc>
      </w:tr>
      <w:tr w:rsidR="008B4D33" w14:paraId="4D21DAA4" w14:textId="77777777" w:rsidTr="0056032F">
        <w:trPr>
          <w:trHeight w:val="315"/>
        </w:trPr>
        <w:tc>
          <w:tcPr>
            <w:tcW w:w="1256" w:type="dxa"/>
            <w:vMerge/>
            <w:tcBorders>
              <w:top w:val="nil"/>
              <w:left w:val="single" w:sz="8" w:space="0" w:color="auto"/>
              <w:bottom w:val="single" w:sz="8" w:space="0" w:color="000000"/>
              <w:right w:val="single" w:sz="8" w:space="0" w:color="auto"/>
            </w:tcBorders>
            <w:vAlign w:val="center"/>
            <w:hideMark/>
          </w:tcPr>
          <w:p w14:paraId="39AEC9E6" w14:textId="77777777" w:rsidR="008B4D33" w:rsidRDefault="008B4D33">
            <w:pPr>
              <w:rPr>
                <w:rFonts w:ascii="Calibri" w:hAnsi="Calibri" w:cs="Calibri"/>
                <w:color w:val="000000"/>
                <w:sz w:val="22"/>
                <w:szCs w:val="22"/>
              </w:rPr>
            </w:pPr>
          </w:p>
        </w:tc>
        <w:tc>
          <w:tcPr>
            <w:tcW w:w="1595" w:type="dxa"/>
            <w:tcBorders>
              <w:top w:val="nil"/>
              <w:left w:val="nil"/>
              <w:bottom w:val="nil"/>
              <w:right w:val="single" w:sz="8" w:space="0" w:color="auto"/>
            </w:tcBorders>
            <w:shd w:val="clear" w:color="000000" w:fill="FFFFFF"/>
            <w:vAlign w:val="center"/>
            <w:hideMark/>
          </w:tcPr>
          <w:p w14:paraId="01845F17"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Office</w:t>
            </w:r>
          </w:p>
        </w:tc>
        <w:tc>
          <w:tcPr>
            <w:tcW w:w="1170" w:type="dxa"/>
            <w:tcBorders>
              <w:top w:val="nil"/>
              <w:left w:val="nil"/>
              <w:bottom w:val="single" w:sz="8" w:space="0" w:color="auto"/>
              <w:right w:val="dotted" w:sz="4" w:space="0" w:color="auto"/>
            </w:tcBorders>
            <w:shd w:val="clear" w:color="000000" w:fill="FFFFFF"/>
            <w:vAlign w:val="center"/>
            <w:hideMark/>
          </w:tcPr>
          <w:p w14:paraId="4E40A35C"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45.5</w:t>
            </w:r>
          </w:p>
        </w:tc>
        <w:tc>
          <w:tcPr>
            <w:tcW w:w="1695" w:type="dxa"/>
            <w:tcBorders>
              <w:top w:val="nil"/>
              <w:left w:val="nil"/>
              <w:bottom w:val="single" w:sz="8" w:space="0" w:color="auto"/>
              <w:right w:val="single" w:sz="8" w:space="0" w:color="auto"/>
            </w:tcBorders>
            <w:shd w:val="clear" w:color="000000" w:fill="FFFFFF"/>
            <w:vAlign w:val="center"/>
            <w:hideMark/>
          </w:tcPr>
          <w:p w14:paraId="20C7EE7F"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0.6</w:t>
            </w:r>
          </w:p>
        </w:tc>
        <w:tc>
          <w:tcPr>
            <w:tcW w:w="1051" w:type="dxa"/>
            <w:tcBorders>
              <w:top w:val="nil"/>
              <w:left w:val="nil"/>
              <w:bottom w:val="single" w:sz="8" w:space="0" w:color="auto"/>
              <w:right w:val="dotted" w:sz="4" w:space="0" w:color="auto"/>
            </w:tcBorders>
            <w:shd w:val="clear" w:color="000000" w:fill="FFFFFF"/>
            <w:vAlign w:val="center"/>
            <w:hideMark/>
          </w:tcPr>
          <w:p w14:paraId="3115368F"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14.1</w:t>
            </w:r>
          </w:p>
        </w:tc>
        <w:tc>
          <w:tcPr>
            <w:tcW w:w="1156" w:type="dxa"/>
            <w:tcBorders>
              <w:top w:val="nil"/>
              <w:left w:val="nil"/>
              <w:bottom w:val="single" w:sz="8" w:space="0" w:color="auto"/>
              <w:right w:val="single" w:sz="8" w:space="0" w:color="auto"/>
            </w:tcBorders>
            <w:shd w:val="clear" w:color="000000" w:fill="FFFFFF"/>
            <w:vAlign w:val="center"/>
            <w:hideMark/>
          </w:tcPr>
          <w:p w14:paraId="15DADD2D"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0.4</w:t>
            </w:r>
          </w:p>
        </w:tc>
        <w:tc>
          <w:tcPr>
            <w:tcW w:w="1131" w:type="dxa"/>
            <w:tcBorders>
              <w:top w:val="nil"/>
              <w:left w:val="nil"/>
              <w:bottom w:val="single" w:sz="8" w:space="0" w:color="auto"/>
              <w:right w:val="dotted" w:sz="4" w:space="0" w:color="auto"/>
            </w:tcBorders>
            <w:shd w:val="clear" w:color="000000" w:fill="FFFFFF"/>
            <w:vAlign w:val="center"/>
            <w:hideMark/>
          </w:tcPr>
          <w:p w14:paraId="0863B6EE"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86.7</w:t>
            </w:r>
          </w:p>
        </w:tc>
        <w:tc>
          <w:tcPr>
            <w:tcW w:w="1156" w:type="dxa"/>
            <w:tcBorders>
              <w:top w:val="nil"/>
              <w:left w:val="nil"/>
              <w:bottom w:val="single" w:sz="8" w:space="0" w:color="auto"/>
              <w:right w:val="single" w:sz="8" w:space="0" w:color="auto"/>
            </w:tcBorders>
            <w:shd w:val="clear" w:color="000000" w:fill="FFFFFF"/>
            <w:vAlign w:val="center"/>
            <w:hideMark/>
          </w:tcPr>
          <w:p w14:paraId="746D890C"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0.8</w:t>
            </w:r>
          </w:p>
        </w:tc>
        <w:tc>
          <w:tcPr>
            <w:tcW w:w="1030" w:type="dxa"/>
            <w:tcBorders>
              <w:top w:val="nil"/>
              <w:left w:val="nil"/>
              <w:bottom w:val="single" w:sz="8" w:space="0" w:color="auto"/>
              <w:right w:val="dotted" w:sz="4" w:space="0" w:color="auto"/>
            </w:tcBorders>
            <w:shd w:val="clear" w:color="000000" w:fill="FFFFFF"/>
            <w:vAlign w:val="center"/>
            <w:hideMark/>
          </w:tcPr>
          <w:p w14:paraId="292F813B"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146.3</w:t>
            </w:r>
          </w:p>
        </w:tc>
        <w:tc>
          <w:tcPr>
            <w:tcW w:w="1170" w:type="dxa"/>
            <w:tcBorders>
              <w:top w:val="nil"/>
              <w:left w:val="nil"/>
              <w:bottom w:val="single" w:sz="8" w:space="0" w:color="auto"/>
              <w:right w:val="single" w:sz="8" w:space="0" w:color="auto"/>
            </w:tcBorders>
            <w:shd w:val="clear" w:color="000000" w:fill="FFFFFF"/>
            <w:vAlign w:val="center"/>
            <w:hideMark/>
          </w:tcPr>
          <w:p w14:paraId="1E7D6F41"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0.7</w:t>
            </w:r>
          </w:p>
        </w:tc>
      </w:tr>
      <w:tr w:rsidR="008B4D33" w14:paraId="3D2A4C2C" w14:textId="77777777" w:rsidTr="0056032F">
        <w:trPr>
          <w:trHeight w:val="315"/>
        </w:trPr>
        <w:tc>
          <w:tcPr>
            <w:tcW w:w="1256" w:type="dxa"/>
            <w:vMerge/>
            <w:tcBorders>
              <w:top w:val="nil"/>
              <w:left w:val="single" w:sz="8" w:space="0" w:color="auto"/>
              <w:bottom w:val="single" w:sz="8" w:space="0" w:color="000000"/>
              <w:right w:val="single" w:sz="8" w:space="0" w:color="auto"/>
            </w:tcBorders>
            <w:vAlign w:val="center"/>
            <w:hideMark/>
          </w:tcPr>
          <w:p w14:paraId="26CDB11A" w14:textId="77777777" w:rsidR="008B4D33" w:rsidRDefault="008B4D33">
            <w:pPr>
              <w:rPr>
                <w:rFonts w:ascii="Calibri" w:hAnsi="Calibri" w:cs="Calibri"/>
                <w:color w:val="000000"/>
                <w:sz w:val="22"/>
                <w:szCs w:val="22"/>
              </w:rPr>
            </w:pPr>
          </w:p>
        </w:tc>
        <w:tc>
          <w:tcPr>
            <w:tcW w:w="1595" w:type="dxa"/>
            <w:tcBorders>
              <w:top w:val="nil"/>
              <w:left w:val="nil"/>
              <w:bottom w:val="nil"/>
              <w:right w:val="single" w:sz="8" w:space="0" w:color="auto"/>
            </w:tcBorders>
            <w:shd w:val="clear" w:color="000000" w:fill="FFFFFF"/>
            <w:vAlign w:val="center"/>
            <w:hideMark/>
          </w:tcPr>
          <w:p w14:paraId="3C0FFF06"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Parking</w:t>
            </w:r>
          </w:p>
        </w:tc>
        <w:tc>
          <w:tcPr>
            <w:tcW w:w="1170" w:type="dxa"/>
            <w:tcBorders>
              <w:top w:val="nil"/>
              <w:left w:val="nil"/>
              <w:bottom w:val="single" w:sz="8" w:space="0" w:color="auto"/>
              <w:right w:val="dotted" w:sz="4" w:space="0" w:color="auto"/>
            </w:tcBorders>
            <w:shd w:val="clear" w:color="000000" w:fill="FFFFFF"/>
            <w:vAlign w:val="center"/>
            <w:hideMark/>
          </w:tcPr>
          <w:p w14:paraId="4CB75515"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40.8</w:t>
            </w:r>
          </w:p>
        </w:tc>
        <w:tc>
          <w:tcPr>
            <w:tcW w:w="1695" w:type="dxa"/>
            <w:tcBorders>
              <w:top w:val="nil"/>
              <w:left w:val="nil"/>
              <w:bottom w:val="single" w:sz="8" w:space="0" w:color="auto"/>
              <w:right w:val="single" w:sz="8" w:space="0" w:color="auto"/>
            </w:tcBorders>
            <w:shd w:val="clear" w:color="000000" w:fill="FFFFFF"/>
            <w:vAlign w:val="center"/>
            <w:hideMark/>
          </w:tcPr>
          <w:p w14:paraId="3047E08B"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0.5</w:t>
            </w:r>
          </w:p>
        </w:tc>
        <w:tc>
          <w:tcPr>
            <w:tcW w:w="1051" w:type="dxa"/>
            <w:tcBorders>
              <w:top w:val="nil"/>
              <w:left w:val="nil"/>
              <w:bottom w:val="single" w:sz="8" w:space="0" w:color="auto"/>
              <w:right w:val="dotted" w:sz="4" w:space="0" w:color="auto"/>
            </w:tcBorders>
            <w:shd w:val="clear" w:color="000000" w:fill="FFFFFF"/>
            <w:vAlign w:val="center"/>
            <w:hideMark/>
          </w:tcPr>
          <w:p w14:paraId="507E0D23"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7.2</w:t>
            </w:r>
          </w:p>
        </w:tc>
        <w:tc>
          <w:tcPr>
            <w:tcW w:w="1156" w:type="dxa"/>
            <w:tcBorders>
              <w:top w:val="nil"/>
              <w:left w:val="nil"/>
              <w:bottom w:val="single" w:sz="8" w:space="0" w:color="auto"/>
              <w:right w:val="single" w:sz="8" w:space="0" w:color="auto"/>
            </w:tcBorders>
            <w:shd w:val="clear" w:color="000000" w:fill="FFFFFF"/>
            <w:vAlign w:val="center"/>
            <w:hideMark/>
          </w:tcPr>
          <w:p w14:paraId="0ECACCFD"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0.2</w:t>
            </w:r>
          </w:p>
        </w:tc>
        <w:tc>
          <w:tcPr>
            <w:tcW w:w="1131" w:type="dxa"/>
            <w:tcBorders>
              <w:top w:val="nil"/>
              <w:left w:val="nil"/>
              <w:bottom w:val="single" w:sz="8" w:space="0" w:color="auto"/>
              <w:right w:val="dotted" w:sz="4" w:space="0" w:color="auto"/>
            </w:tcBorders>
            <w:shd w:val="clear" w:color="000000" w:fill="FFFFFF"/>
            <w:vAlign w:val="center"/>
            <w:hideMark/>
          </w:tcPr>
          <w:p w14:paraId="1526AE26"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5.2</w:t>
            </w:r>
          </w:p>
        </w:tc>
        <w:tc>
          <w:tcPr>
            <w:tcW w:w="1156" w:type="dxa"/>
            <w:tcBorders>
              <w:top w:val="nil"/>
              <w:left w:val="nil"/>
              <w:bottom w:val="single" w:sz="8" w:space="0" w:color="auto"/>
              <w:right w:val="single" w:sz="8" w:space="0" w:color="auto"/>
            </w:tcBorders>
            <w:shd w:val="clear" w:color="000000" w:fill="FFFFFF"/>
            <w:vAlign w:val="center"/>
            <w:hideMark/>
          </w:tcPr>
          <w:p w14:paraId="07F3B00A"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0.1</w:t>
            </w:r>
          </w:p>
        </w:tc>
        <w:tc>
          <w:tcPr>
            <w:tcW w:w="1030" w:type="dxa"/>
            <w:tcBorders>
              <w:top w:val="nil"/>
              <w:left w:val="nil"/>
              <w:bottom w:val="single" w:sz="8" w:space="0" w:color="auto"/>
              <w:right w:val="dotted" w:sz="4" w:space="0" w:color="auto"/>
            </w:tcBorders>
            <w:shd w:val="clear" w:color="000000" w:fill="FFFFFF"/>
            <w:vAlign w:val="center"/>
            <w:hideMark/>
          </w:tcPr>
          <w:p w14:paraId="2AB52702"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53.2</w:t>
            </w:r>
          </w:p>
        </w:tc>
        <w:tc>
          <w:tcPr>
            <w:tcW w:w="1170" w:type="dxa"/>
            <w:tcBorders>
              <w:top w:val="nil"/>
              <w:left w:val="nil"/>
              <w:bottom w:val="single" w:sz="8" w:space="0" w:color="auto"/>
              <w:right w:val="single" w:sz="8" w:space="0" w:color="auto"/>
            </w:tcBorders>
            <w:shd w:val="clear" w:color="000000" w:fill="FFFFFF"/>
            <w:vAlign w:val="center"/>
            <w:hideMark/>
          </w:tcPr>
          <w:p w14:paraId="02A6341F"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0.2</w:t>
            </w:r>
          </w:p>
        </w:tc>
      </w:tr>
      <w:tr w:rsidR="008B4D33" w14:paraId="26D8A5B7" w14:textId="77777777" w:rsidTr="0056032F">
        <w:trPr>
          <w:trHeight w:val="315"/>
        </w:trPr>
        <w:tc>
          <w:tcPr>
            <w:tcW w:w="1256" w:type="dxa"/>
            <w:vMerge/>
            <w:tcBorders>
              <w:top w:val="nil"/>
              <w:left w:val="single" w:sz="8" w:space="0" w:color="auto"/>
              <w:bottom w:val="single" w:sz="8" w:space="0" w:color="000000"/>
              <w:right w:val="single" w:sz="8" w:space="0" w:color="auto"/>
            </w:tcBorders>
            <w:vAlign w:val="center"/>
            <w:hideMark/>
          </w:tcPr>
          <w:p w14:paraId="1AB915B2" w14:textId="77777777" w:rsidR="008B4D33" w:rsidRDefault="008B4D33">
            <w:pPr>
              <w:rPr>
                <w:rFonts w:ascii="Calibri" w:hAnsi="Calibri" w:cs="Calibri"/>
                <w:color w:val="000000"/>
                <w:sz w:val="22"/>
                <w:szCs w:val="22"/>
              </w:rPr>
            </w:pPr>
          </w:p>
        </w:tc>
        <w:tc>
          <w:tcPr>
            <w:tcW w:w="1595" w:type="dxa"/>
            <w:tcBorders>
              <w:top w:val="nil"/>
              <w:left w:val="nil"/>
              <w:bottom w:val="nil"/>
              <w:right w:val="single" w:sz="8" w:space="0" w:color="auto"/>
            </w:tcBorders>
            <w:shd w:val="clear" w:color="000000" w:fill="FFFFFF"/>
            <w:vAlign w:val="center"/>
            <w:hideMark/>
          </w:tcPr>
          <w:p w14:paraId="498212BF"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Utilities</w:t>
            </w:r>
          </w:p>
        </w:tc>
        <w:tc>
          <w:tcPr>
            <w:tcW w:w="1170" w:type="dxa"/>
            <w:tcBorders>
              <w:top w:val="nil"/>
              <w:left w:val="nil"/>
              <w:bottom w:val="single" w:sz="8" w:space="0" w:color="auto"/>
              <w:right w:val="dotted" w:sz="4" w:space="0" w:color="auto"/>
            </w:tcBorders>
            <w:shd w:val="clear" w:color="000000" w:fill="FFFFFF"/>
            <w:vAlign w:val="center"/>
            <w:hideMark/>
          </w:tcPr>
          <w:p w14:paraId="1E16155C"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30.6</w:t>
            </w:r>
          </w:p>
        </w:tc>
        <w:tc>
          <w:tcPr>
            <w:tcW w:w="1695" w:type="dxa"/>
            <w:tcBorders>
              <w:top w:val="nil"/>
              <w:left w:val="nil"/>
              <w:bottom w:val="single" w:sz="8" w:space="0" w:color="auto"/>
              <w:right w:val="single" w:sz="8" w:space="0" w:color="auto"/>
            </w:tcBorders>
            <w:shd w:val="clear" w:color="000000" w:fill="FFFFFF"/>
            <w:vAlign w:val="center"/>
            <w:hideMark/>
          </w:tcPr>
          <w:p w14:paraId="503E3A72"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0.4</w:t>
            </w:r>
          </w:p>
        </w:tc>
        <w:tc>
          <w:tcPr>
            <w:tcW w:w="1051" w:type="dxa"/>
            <w:tcBorders>
              <w:top w:val="nil"/>
              <w:left w:val="nil"/>
              <w:bottom w:val="single" w:sz="8" w:space="0" w:color="auto"/>
              <w:right w:val="dotted" w:sz="4" w:space="0" w:color="auto"/>
            </w:tcBorders>
            <w:shd w:val="clear" w:color="000000" w:fill="FFFFFF"/>
            <w:vAlign w:val="center"/>
            <w:hideMark/>
          </w:tcPr>
          <w:p w14:paraId="7E5500F3"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18.8</w:t>
            </w:r>
          </w:p>
        </w:tc>
        <w:tc>
          <w:tcPr>
            <w:tcW w:w="1156" w:type="dxa"/>
            <w:tcBorders>
              <w:top w:val="nil"/>
              <w:left w:val="nil"/>
              <w:bottom w:val="single" w:sz="8" w:space="0" w:color="auto"/>
              <w:right w:val="single" w:sz="8" w:space="0" w:color="auto"/>
            </w:tcBorders>
            <w:shd w:val="clear" w:color="000000" w:fill="FFFFFF"/>
            <w:vAlign w:val="center"/>
            <w:hideMark/>
          </w:tcPr>
          <w:p w14:paraId="1E126CCE"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0.6</w:t>
            </w:r>
          </w:p>
        </w:tc>
        <w:tc>
          <w:tcPr>
            <w:tcW w:w="1131" w:type="dxa"/>
            <w:tcBorders>
              <w:top w:val="nil"/>
              <w:left w:val="nil"/>
              <w:bottom w:val="single" w:sz="8" w:space="0" w:color="auto"/>
              <w:right w:val="dotted" w:sz="4" w:space="0" w:color="auto"/>
            </w:tcBorders>
            <w:shd w:val="clear" w:color="000000" w:fill="FFFFFF"/>
            <w:vAlign w:val="center"/>
            <w:hideMark/>
          </w:tcPr>
          <w:p w14:paraId="43E4DE7F"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1580.1</w:t>
            </w:r>
          </w:p>
        </w:tc>
        <w:tc>
          <w:tcPr>
            <w:tcW w:w="1156" w:type="dxa"/>
            <w:tcBorders>
              <w:top w:val="nil"/>
              <w:left w:val="nil"/>
              <w:bottom w:val="single" w:sz="8" w:space="0" w:color="auto"/>
              <w:right w:val="single" w:sz="8" w:space="0" w:color="auto"/>
            </w:tcBorders>
            <w:shd w:val="clear" w:color="000000" w:fill="FFFFFF"/>
            <w:vAlign w:val="center"/>
            <w:hideMark/>
          </w:tcPr>
          <w:p w14:paraId="3E3888CD"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15.3</w:t>
            </w:r>
          </w:p>
        </w:tc>
        <w:tc>
          <w:tcPr>
            <w:tcW w:w="1030" w:type="dxa"/>
            <w:tcBorders>
              <w:top w:val="nil"/>
              <w:left w:val="nil"/>
              <w:bottom w:val="single" w:sz="8" w:space="0" w:color="auto"/>
              <w:right w:val="dotted" w:sz="4" w:space="0" w:color="auto"/>
            </w:tcBorders>
            <w:shd w:val="clear" w:color="000000" w:fill="FFFFFF"/>
            <w:vAlign w:val="center"/>
            <w:hideMark/>
          </w:tcPr>
          <w:p w14:paraId="19E4F212"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1629.5</w:t>
            </w:r>
          </w:p>
        </w:tc>
        <w:tc>
          <w:tcPr>
            <w:tcW w:w="1170" w:type="dxa"/>
            <w:tcBorders>
              <w:top w:val="nil"/>
              <w:left w:val="nil"/>
              <w:bottom w:val="single" w:sz="8" w:space="0" w:color="auto"/>
              <w:right w:val="single" w:sz="8" w:space="0" w:color="auto"/>
            </w:tcBorders>
            <w:shd w:val="clear" w:color="000000" w:fill="FFFFFF"/>
            <w:vAlign w:val="center"/>
            <w:hideMark/>
          </w:tcPr>
          <w:p w14:paraId="7F276EF5"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7.5</w:t>
            </w:r>
          </w:p>
        </w:tc>
      </w:tr>
      <w:tr w:rsidR="008B4D33" w14:paraId="5F63BD36" w14:textId="77777777" w:rsidTr="0056032F">
        <w:trPr>
          <w:trHeight w:val="315"/>
        </w:trPr>
        <w:tc>
          <w:tcPr>
            <w:tcW w:w="1256" w:type="dxa"/>
            <w:vMerge/>
            <w:tcBorders>
              <w:top w:val="nil"/>
              <w:left w:val="single" w:sz="8" w:space="0" w:color="auto"/>
              <w:bottom w:val="single" w:sz="8" w:space="0" w:color="000000"/>
              <w:right w:val="single" w:sz="8" w:space="0" w:color="auto"/>
            </w:tcBorders>
            <w:vAlign w:val="center"/>
            <w:hideMark/>
          </w:tcPr>
          <w:p w14:paraId="605A28EE" w14:textId="77777777" w:rsidR="008B4D33" w:rsidRDefault="008B4D33">
            <w:pPr>
              <w:rPr>
                <w:rFonts w:ascii="Calibri" w:hAnsi="Calibri" w:cs="Calibri"/>
                <w:color w:val="000000"/>
                <w:sz w:val="22"/>
                <w:szCs w:val="22"/>
              </w:rPr>
            </w:pPr>
          </w:p>
        </w:tc>
        <w:tc>
          <w:tcPr>
            <w:tcW w:w="1595" w:type="dxa"/>
            <w:tcBorders>
              <w:top w:val="nil"/>
              <w:left w:val="nil"/>
              <w:bottom w:val="nil"/>
              <w:right w:val="single" w:sz="8" w:space="0" w:color="auto"/>
            </w:tcBorders>
            <w:shd w:val="clear" w:color="000000" w:fill="FFFFFF"/>
            <w:vAlign w:val="center"/>
            <w:hideMark/>
          </w:tcPr>
          <w:p w14:paraId="7DE12F4A"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Retail</w:t>
            </w:r>
          </w:p>
        </w:tc>
        <w:tc>
          <w:tcPr>
            <w:tcW w:w="1170" w:type="dxa"/>
            <w:tcBorders>
              <w:top w:val="nil"/>
              <w:left w:val="nil"/>
              <w:bottom w:val="single" w:sz="8" w:space="0" w:color="auto"/>
              <w:right w:val="dotted" w:sz="4" w:space="0" w:color="auto"/>
            </w:tcBorders>
            <w:shd w:val="clear" w:color="000000" w:fill="FFFFFF"/>
            <w:vAlign w:val="center"/>
            <w:hideMark/>
          </w:tcPr>
          <w:p w14:paraId="42E01B40"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106.2</w:t>
            </w:r>
          </w:p>
        </w:tc>
        <w:tc>
          <w:tcPr>
            <w:tcW w:w="1695" w:type="dxa"/>
            <w:tcBorders>
              <w:top w:val="nil"/>
              <w:left w:val="nil"/>
              <w:bottom w:val="single" w:sz="8" w:space="0" w:color="auto"/>
              <w:right w:val="single" w:sz="8" w:space="0" w:color="auto"/>
            </w:tcBorders>
            <w:shd w:val="clear" w:color="000000" w:fill="FFFFFF"/>
            <w:vAlign w:val="center"/>
            <w:hideMark/>
          </w:tcPr>
          <w:p w14:paraId="2A823959"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1.3</w:t>
            </w:r>
          </w:p>
        </w:tc>
        <w:tc>
          <w:tcPr>
            <w:tcW w:w="1051" w:type="dxa"/>
            <w:tcBorders>
              <w:top w:val="nil"/>
              <w:left w:val="nil"/>
              <w:bottom w:val="single" w:sz="8" w:space="0" w:color="auto"/>
              <w:right w:val="dotted" w:sz="4" w:space="0" w:color="auto"/>
            </w:tcBorders>
            <w:shd w:val="clear" w:color="000000" w:fill="FFFFFF"/>
            <w:vAlign w:val="center"/>
            <w:hideMark/>
          </w:tcPr>
          <w:p w14:paraId="60DECFAA"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48.8</w:t>
            </w:r>
          </w:p>
        </w:tc>
        <w:tc>
          <w:tcPr>
            <w:tcW w:w="1156" w:type="dxa"/>
            <w:tcBorders>
              <w:top w:val="nil"/>
              <w:left w:val="nil"/>
              <w:bottom w:val="single" w:sz="8" w:space="0" w:color="auto"/>
              <w:right w:val="single" w:sz="8" w:space="0" w:color="auto"/>
            </w:tcBorders>
            <w:shd w:val="clear" w:color="000000" w:fill="FFFFFF"/>
            <w:vAlign w:val="center"/>
            <w:hideMark/>
          </w:tcPr>
          <w:p w14:paraId="5ED19FC5"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1.5</w:t>
            </w:r>
          </w:p>
        </w:tc>
        <w:tc>
          <w:tcPr>
            <w:tcW w:w="1131" w:type="dxa"/>
            <w:tcBorders>
              <w:top w:val="nil"/>
              <w:left w:val="nil"/>
              <w:bottom w:val="single" w:sz="8" w:space="0" w:color="auto"/>
              <w:right w:val="dotted" w:sz="4" w:space="0" w:color="auto"/>
            </w:tcBorders>
            <w:shd w:val="clear" w:color="000000" w:fill="FFFFFF"/>
            <w:vAlign w:val="center"/>
            <w:hideMark/>
          </w:tcPr>
          <w:p w14:paraId="2AEB41CD"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160.6</w:t>
            </w:r>
          </w:p>
        </w:tc>
        <w:tc>
          <w:tcPr>
            <w:tcW w:w="1156" w:type="dxa"/>
            <w:tcBorders>
              <w:top w:val="nil"/>
              <w:left w:val="nil"/>
              <w:bottom w:val="single" w:sz="8" w:space="0" w:color="auto"/>
              <w:right w:val="single" w:sz="8" w:space="0" w:color="auto"/>
            </w:tcBorders>
            <w:shd w:val="clear" w:color="000000" w:fill="FFFFFF"/>
            <w:vAlign w:val="center"/>
            <w:hideMark/>
          </w:tcPr>
          <w:p w14:paraId="1E482B45"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1.6</w:t>
            </w:r>
          </w:p>
        </w:tc>
        <w:tc>
          <w:tcPr>
            <w:tcW w:w="1030" w:type="dxa"/>
            <w:tcBorders>
              <w:top w:val="nil"/>
              <w:left w:val="nil"/>
              <w:bottom w:val="single" w:sz="8" w:space="0" w:color="auto"/>
              <w:right w:val="dotted" w:sz="4" w:space="0" w:color="auto"/>
            </w:tcBorders>
            <w:shd w:val="clear" w:color="000000" w:fill="FFFFFF"/>
            <w:vAlign w:val="center"/>
            <w:hideMark/>
          </w:tcPr>
          <w:p w14:paraId="51B0A8B8"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315.6</w:t>
            </w:r>
          </w:p>
        </w:tc>
        <w:tc>
          <w:tcPr>
            <w:tcW w:w="1170" w:type="dxa"/>
            <w:tcBorders>
              <w:top w:val="nil"/>
              <w:left w:val="nil"/>
              <w:bottom w:val="single" w:sz="8" w:space="0" w:color="auto"/>
              <w:right w:val="single" w:sz="8" w:space="0" w:color="auto"/>
            </w:tcBorders>
            <w:shd w:val="clear" w:color="000000" w:fill="FFFFFF"/>
            <w:vAlign w:val="center"/>
            <w:hideMark/>
          </w:tcPr>
          <w:p w14:paraId="01456C98"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1.5</w:t>
            </w:r>
          </w:p>
        </w:tc>
      </w:tr>
      <w:tr w:rsidR="008B4D33" w14:paraId="657BA828" w14:textId="77777777" w:rsidTr="0056032F">
        <w:trPr>
          <w:trHeight w:val="315"/>
        </w:trPr>
        <w:tc>
          <w:tcPr>
            <w:tcW w:w="1256" w:type="dxa"/>
            <w:vMerge/>
            <w:tcBorders>
              <w:top w:val="nil"/>
              <w:left w:val="single" w:sz="8" w:space="0" w:color="auto"/>
              <w:bottom w:val="single" w:sz="8" w:space="0" w:color="000000"/>
              <w:right w:val="single" w:sz="8" w:space="0" w:color="auto"/>
            </w:tcBorders>
            <w:vAlign w:val="center"/>
            <w:hideMark/>
          </w:tcPr>
          <w:p w14:paraId="105EB117" w14:textId="77777777" w:rsidR="008B4D33" w:rsidRDefault="008B4D33">
            <w:pPr>
              <w:rPr>
                <w:rFonts w:ascii="Calibri" w:hAnsi="Calibri" w:cs="Calibri"/>
                <w:color w:val="000000"/>
                <w:sz w:val="22"/>
                <w:szCs w:val="22"/>
              </w:rPr>
            </w:pPr>
          </w:p>
        </w:tc>
        <w:tc>
          <w:tcPr>
            <w:tcW w:w="1595" w:type="dxa"/>
            <w:tcBorders>
              <w:top w:val="nil"/>
              <w:left w:val="nil"/>
              <w:bottom w:val="nil"/>
              <w:right w:val="single" w:sz="8" w:space="0" w:color="auto"/>
            </w:tcBorders>
            <w:shd w:val="clear" w:color="000000" w:fill="FFFFFF"/>
            <w:vAlign w:val="center"/>
            <w:hideMark/>
          </w:tcPr>
          <w:p w14:paraId="1BBC7096"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Attached Condo Housing</w:t>
            </w:r>
          </w:p>
        </w:tc>
        <w:tc>
          <w:tcPr>
            <w:tcW w:w="1170" w:type="dxa"/>
            <w:tcBorders>
              <w:top w:val="nil"/>
              <w:left w:val="nil"/>
              <w:bottom w:val="single" w:sz="8" w:space="0" w:color="auto"/>
              <w:right w:val="dotted" w:sz="4" w:space="0" w:color="auto"/>
            </w:tcBorders>
            <w:shd w:val="clear" w:color="000000" w:fill="FFFFFF"/>
            <w:noWrap/>
            <w:vAlign w:val="center"/>
            <w:hideMark/>
          </w:tcPr>
          <w:p w14:paraId="2737EAEF"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4.0</w:t>
            </w:r>
          </w:p>
        </w:tc>
        <w:tc>
          <w:tcPr>
            <w:tcW w:w="1695" w:type="dxa"/>
            <w:tcBorders>
              <w:top w:val="nil"/>
              <w:left w:val="nil"/>
              <w:bottom w:val="single" w:sz="8" w:space="0" w:color="auto"/>
              <w:right w:val="single" w:sz="8" w:space="0" w:color="auto"/>
            </w:tcBorders>
            <w:shd w:val="clear" w:color="000000" w:fill="FFFFFF"/>
            <w:vAlign w:val="center"/>
            <w:hideMark/>
          </w:tcPr>
          <w:p w14:paraId="273C8E65"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0.0</w:t>
            </w:r>
          </w:p>
        </w:tc>
        <w:tc>
          <w:tcPr>
            <w:tcW w:w="1051" w:type="dxa"/>
            <w:tcBorders>
              <w:top w:val="nil"/>
              <w:left w:val="nil"/>
              <w:bottom w:val="single" w:sz="8" w:space="0" w:color="auto"/>
              <w:right w:val="dotted" w:sz="4" w:space="0" w:color="auto"/>
            </w:tcBorders>
            <w:shd w:val="clear" w:color="000000" w:fill="FFFFFF"/>
            <w:noWrap/>
            <w:vAlign w:val="center"/>
            <w:hideMark/>
          </w:tcPr>
          <w:p w14:paraId="592F7BAD"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9.7</w:t>
            </w:r>
          </w:p>
        </w:tc>
        <w:tc>
          <w:tcPr>
            <w:tcW w:w="1156" w:type="dxa"/>
            <w:tcBorders>
              <w:top w:val="nil"/>
              <w:left w:val="nil"/>
              <w:bottom w:val="single" w:sz="8" w:space="0" w:color="auto"/>
              <w:right w:val="single" w:sz="8" w:space="0" w:color="auto"/>
            </w:tcBorders>
            <w:shd w:val="clear" w:color="000000" w:fill="FFFFFF"/>
            <w:vAlign w:val="center"/>
            <w:hideMark/>
          </w:tcPr>
          <w:p w14:paraId="0DA88487"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0.3</w:t>
            </w:r>
          </w:p>
        </w:tc>
        <w:tc>
          <w:tcPr>
            <w:tcW w:w="1131" w:type="dxa"/>
            <w:tcBorders>
              <w:top w:val="nil"/>
              <w:left w:val="nil"/>
              <w:bottom w:val="single" w:sz="8" w:space="0" w:color="auto"/>
              <w:right w:val="dotted" w:sz="4" w:space="0" w:color="auto"/>
            </w:tcBorders>
            <w:shd w:val="clear" w:color="000000" w:fill="FFFFFF"/>
            <w:noWrap/>
            <w:vAlign w:val="center"/>
            <w:hideMark/>
          </w:tcPr>
          <w:p w14:paraId="14F0D901"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23.3</w:t>
            </w:r>
          </w:p>
        </w:tc>
        <w:tc>
          <w:tcPr>
            <w:tcW w:w="1156" w:type="dxa"/>
            <w:tcBorders>
              <w:top w:val="nil"/>
              <w:left w:val="nil"/>
              <w:bottom w:val="single" w:sz="8" w:space="0" w:color="auto"/>
              <w:right w:val="single" w:sz="8" w:space="0" w:color="auto"/>
            </w:tcBorders>
            <w:shd w:val="clear" w:color="000000" w:fill="FFFFFF"/>
            <w:vAlign w:val="center"/>
            <w:hideMark/>
          </w:tcPr>
          <w:p w14:paraId="76C1CA69"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0.2</w:t>
            </w:r>
          </w:p>
        </w:tc>
        <w:tc>
          <w:tcPr>
            <w:tcW w:w="1030" w:type="dxa"/>
            <w:tcBorders>
              <w:top w:val="nil"/>
              <w:left w:val="nil"/>
              <w:bottom w:val="single" w:sz="8" w:space="0" w:color="auto"/>
              <w:right w:val="dotted" w:sz="4" w:space="0" w:color="auto"/>
            </w:tcBorders>
            <w:shd w:val="clear" w:color="000000" w:fill="FFFFFF"/>
            <w:vAlign w:val="center"/>
            <w:hideMark/>
          </w:tcPr>
          <w:p w14:paraId="037F1030"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37.0</w:t>
            </w:r>
          </w:p>
        </w:tc>
        <w:tc>
          <w:tcPr>
            <w:tcW w:w="1170" w:type="dxa"/>
            <w:tcBorders>
              <w:top w:val="nil"/>
              <w:left w:val="nil"/>
              <w:bottom w:val="single" w:sz="8" w:space="0" w:color="auto"/>
              <w:right w:val="single" w:sz="8" w:space="0" w:color="auto"/>
            </w:tcBorders>
            <w:shd w:val="clear" w:color="000000" w:fill="FFFFFF"/>
            <w:vAlign w:val="center"/>
            <w:hideMark/>
          </w:tcPr>
          <w:p w14:paraId="3C9CC699"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0.2</w:t>
            </w:r>
          </w:p>
        </w:tc>
      </w:tr>
      <w:tr w:rsidR="008B4D33" w14:paraId="71F28A74" w14:textId="77777777" w:rsidTr="0056032F">
        <w:trPr>
          <w:trHeight w:val="315"/>
        </w:trPr>
        <w:tc>
          <w:tcPr>
            <w:tcW w:w="1256" w:type="dxa"/>
            <w:vMerge/>
            <w:tcBorders>
              <w:top w:val="nil"/>
              <w:left w:val="single" w:sz="8" w:space="0" w:color="auto"/>
              <w:bottom w:val="single" w:sz="8" w:space="0" w:color="000000"/>
              <w:right w:val="single" w:sz="8" w:space="0" w:color="auto"/>
            </w:tcBorders>
            <w:vAlign w:val="center"/>
            <w:hideMark/>
          </w:tcPr>
          <w:p w14:paraId="53EEF8CC" w14:textId="77777777" w:rsidR="008B4D33" w:rsidRDefault="008B4D33">
            <w:pPr>
              <w:rPr>
                <w:rFonts w:ascii="Calibri" w:hAnsi="Calibri" w:cs="Calibri"/>
                <w:color w:val="000000"/>
                <w:sz w:val="22"/>
                <w:szCs w:val="22"/>
              </w:rPr>
            </w:pPr>
          </w:p>
        </w:tc>
        <w:tc>
          <w:tcPr>
            <w:tcW w:w="1595" w:type="dxa"/>
            <w:tcBorders>
              <w:top w:val="nil"/>
              <w:left w:val="nil"/>
              <w:bottom w:val="nil"/>
              <w:right w:val="single" w:sz="8" w:space="0" w:color="auto"/>
            </w:tcBorders>
            <w:shd w:val="clear" w:color="000000" w:fill="FFFFFF"/>
            <w:vAlign w:val="center"/>
            <w:hideMark/>
          </w:tcPr>
          <w:p w14:paraId="11CB8407"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Mobile Home</w:t>
            </w:r>
          </w:p>
        </w:tc>
        <w:tc>
          <w:tcPr>
            <w:tcW w:w="1170" w:type="dxa"/>
            <w:tcBorders>
              <w:top w:val="nil"/>
              <w:left w:val="nil"/>
              <w:bottom w:val="single" w:sz="8" w:space="0" w:color="auto"/>
              <w:right w:val="dotted" w:sz="4" w:space="0" w:color="auto"/>
            </w:tcBorders>
            <w:shd w:val="clear" w:color="000000" w:fill="FFFFFF"/>
            <w:noWrap/>
            <w:vAlign w:val="center"/>
            <w:hideMark/>
          </w:tcPr>
          <w:p w14:paraId="4794B2D2"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0.0</w:t>
            </w:r>
          </w:p>
        </w:tc>
        <w:tc>
          <w:tcPr>
            <w:tcW w:w="1695" w:type="dxa"/>
            <w:tcBorders>
              <w:top w:val="nil"/>
              <w:left w:val="nil"/>
              <w:bottom w:val="single" w:sz="8" w:space="0" w:color="auto"/>
              <w:right w:val="single" w:sz="8" w:space="0" w:color="auto"/>
            </w:tcBorders>
            <w:shd w:val="clear" w:color="000000" w:fill="FFFFFF"/>
            <w:vAlign w:val="center"/>
            <w:hideMark/>
          </w:tcPr>
          <w:p w14:paraId="2E9CF78F"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0.0</w:t>
            </w:r>
          </w:p>
        </w:tc>
        <w:tc>
          <w:tcPr>
            <w:tcW w:w="1051" w:type="dxa"/>
            <w:tcBorders>
              <w:top w:val="nil"/>
              <w:left w:val="nil"/>
              <w:bottom w:val="single" w:sz="8" w:space="0" w:color="auto"/>
              <w:right w:val="dotted" w:sz="4" w:space="0" w:color="auto"/>
            </w:tcBorders>
            <w:shd w:val="clear" w:color="000000" w:fill="FFFFFF"/>
            <w:noWrap/>
            <w:vAlign w:val="center"/>
            <w:hideMark/>
          </w:tcPr>
          <w:p w14:paraId="56D1F78C"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42.2</w:t>
            </w:r>
          </w:p>
        </w:tc>
        <w:tc>
          <w:tcPr>
            <w:tcW w:w="1156" w:type="dxa"/>
            <w:tcBorders>
              <w:top w:val="nil"/>
              <w:left w:val="nil"/>
              <w:bottom w:val="single" w:sz="8" w:space="0" w:color="auto"/>
              <w:right w:val="single" w:sz="8" w:space="0" w:color="auto"/>
            </w:tcBorders>
            <w:shd w:val="clear" w:color="000000" w:fill="FFFFFF"/>
            <w:vAlign w:val="center"/>
            <w:hideMark/>
          </w:tcPr>
          <w:p w14:paraId="5012A474"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1.3</w:t>
            </w:r>
          </w:p>
        </w:tc>
        <w:tc>
          <w:tcPr>
            <w:tcW w:w="1131" w:type="dxa"/>
            <w:tcBorders>
              <w:top w:val="nil"/>
              <w:left w:val="nil"/>
              <w:bottom w:val="single" w:sz="8" w:space="0" w:color="auto"/>
              <w:right w:val="dotted" w:sz="4" w:space="0" w:color="auto"/>
            </w:tcBorders>
            <w:shd w:val="clear" w:color="000000" w:fill="FFFFFF"/>
            <w:noWrap/>
            <w:vAlign w:val="center"/>
            <w:hideMark/>
          </w:tcPr>
          <w:p w14:paraId="763BD3DF"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123.7</w:t>
            </w:r>
          </w:p>
        </w:tc>
        <w:tc>
          <w:tcPr>
            <w:tcW w:w="1156" w:type="dxa"/>
            <w:tcBorders>
              <w:top w:val="nil"/>
              <w:left w:val="nil"/>
              <w:bottom w:val="single" w:sz="8" w:space="0" w:color="auto"/>
              <w:right w:val="single" w:sz="8" w:space="0" w:color="auto"/>
            </w:tcBorders>
            <w:shd w:val="clear" w:color="000000" w:fill="FFFFFF"/>
            <w:vAlign w:val="center"/>
            <w:hideMark/>
          </w:tcPr>
          <w:p w14:paraId="703C1B21"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1.2</w:t>
            </w:r>
          </w:p>
        </w:tc>
        <w:tc>
          <w:tcPr>
            <w:tcW w:w="1030" w:type="dxa"/>
            <w:tcBorders>
              <w:top w:val="nil"/>
              <w:left w:val="nil"/>
              <w:bottom w:val="single" w:sz="8" w:space="0" w:color="auto"/>
              <w:right w:val="dotted" w:sz="4" w:space="0" w:color="auto"/>
            </w:tcBorders>
            <w:shd w:val="clear" w:color="000000" w:fill="FFFFFF"/>
            <w:vAlign w:val="center"/>
            <w:hideMark/>
          </w:tcPr>
          <w:p w14:paraId="4CE9AA69"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165.9</w:t>
            </w:r>
          </w:p>
        </w:tc>
        <w:tc>
          <w:tcPr>
            <w:tcW w:w="1170" w:type="dxa"/>
            <w:tcBorders>
              <w:top w:val="nil"/>
              <w:left w:val="nil"/>
              <w:bottom w:val="single" w:sz="8" w:space="0" w:color="auto"/>
              <w:right w:val="single" w:sz="8" w:space="0" w:color="auto"/>
            </w:tcBorders>
            <w:shd w:val="clear" w:color="000000" w:fill="FFFFFF"/>
            <w:vAlign w:val="center"/>
            <w:hideMark/>
          </w:tcPr>
          <w:p w14:paraId="3B3B6DDD"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0.8</w:t>
            </w:r>
          </w:p>
        </w:tc>
      </w:tr>
      <w:tr w:rsidR="008B4D33" w14:paraId="79BF7A72" w14:textId="77777777" w:rsidTr="0056032F">
        <w:trPr>
          <w:trHeight w:val="315"/>
        </w:trPr>
        <w:tc>
          <w:tcPr>
            <w:tcW w:w="1256" w:type="dxa"/>
            <w:vMerge/>
            <w:tcBorders>
              <w:top w:val="nil"/>
              <w:left w:val="single" w:sz="8" w:space="0" w:color="auto"/>
              <w:bottom w:val="single" w:sz="8" w:space="0" w:color="000000"/>
              <w:right w:val="single" w:sz="8" w:space="0" w:color="auto"/>
            </w:tcBorders>
            <w:vAlign w:val="center"/>
            <w:hideMark/>
          </w:tcPr>
          <w:p w14:paraId="00B675D0" w14:textId="77777777" w:rsidR="008B4D33" w:rsidRDefault="008B4D33">
            <w:pPr>
              <w:rPr>
                <w:rFonts w:ascii="Calibri" w:hAnsi="Calibri" w:cs="Calibri"/>
                <w:color w:val="000000"/>
                <w:sz w:val="22"/>
                <w:szCs w:val="22"/>
              </w:rPr>
            </w:pPr>
          </w:p>
        </w:tc>
        <w:tc>
          <w:tcPr>
            <w:tcW w:w="1595" w:type="dxa"/>
            <w:tcBorders>
              <w:top w:val="nil"/>
              <w:left w:val="nil"/>
              <w:bottom w:val="nil"/>
              <w:right w:val="single" w:sz="8" w:space="0" w:color="auto"/>
            </w:tcBorders>
            <w:shd w:val="clear" w:color="000000" w:fill="FFFFFF"/>
            <w:vAlign w:val="center"/>
            <w:hideMark/>
          </w:tcPr>
          <w:p w14:paraId="72D24ECD"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Multi-family housing</w:t>
            </w:r>
          </w:p>
        </w:tc>
        <w:tc>
          <w:tcPr>
            <w:tcW w:w="1170" w:type="dxa"/>
            <w:tcBorders>
              <w:top w:val="nil"/>
              <w:left w:val="nil"/>
              <w:bottom w:val="single" w:sz="8" w:space="0" w:color="auto"/>
              <w:right w:val="dotted" w:sz="4" w:space="0" w:color="auto"/>
            </w:tcBorders>
            <w:shd w:val="clear" w:color="000000" w:fill="FFFFFF"/>
            <w:noWrap/>
            <w:vAlign w:val="center"/>
            <w:hideMark/>
          </w:tcPr>
          <w:p w14:paraId="09260F0E"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319.6</w:t>
            </w:r>
          </w:p>
        </w:tc>
        <w:tc>
          <w:tcPr>
            <w:tcW w:w="1695" w:type="dxa"/>
            <w:tcBorders>
              <w:top w:val="nil"/>
              <w:left w:val="nil"/>
              <w:bottom w:val="single" w:sz="8" w:space="0" w:color="auto"/>
              <w:right w:val="single" w:sz="8" w:space="0" w:color="auto"/>
            </w:tcBorders>
            <w:shd w:val="clear" w:color="000000" w:fill="FFFFFF"/>
            <w:vAlign w:val="center"/>
            <w:hideMark/>
          </w:tcPr>
          <w:p w14:paraId="141C3F6A"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4.0</w:t>
            </w:r>
          </w:p>
        </w:tc>
        <w:tc>
          <w:tcPr>
            <w:tcW w:w="1051" w:type="dxa"/>
            <w:tcBorders>
              <w:top w:val="nil"/>
              <w:left w:val="nil"/>
              <w:bottom w:val="single" w:sz="8" w:space="0" w:color="auto"/>
              <w:right w:val="dotted" w:sz="4" w:space="0" w:color="auto"/>
            </w:tcBorders>
            <w:shd w:val="clear" w:color="000000" w:fill="FFFFFF"/>
            <w:noWrap/>
            <w:vAlign w:val="center"/>
            <w:hideMark/>
          </w:tcPr>
          <w:p w14:paraId="1AB9893F"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191.0</w:t>
            </w:r>
          </w:p>
        </w:tc>
        <w:tc>
          <w:tcPr>
            <w:tcW w:w="1156" w:type="dxa"/>
            <w:tcBorders>
              <w:top w:val="nil"/>
              <w:left w:val="nil"/>
              <w:bottom w:val="single" w:sz="8" w:space="0" w:color="auto"/>
              <w:right w:val="single" w:sz="8" w:space="0" w:color="auto"/>
            </w:tcBorders>
            <w:shd w:val="clear" w:color="000000" w:fill="FFFFFF"/>
            <w:vAlign w:val="center"/>
            <w:hideMark/>
          </w:tcPr>
          <w:p w14:paraId="5AD2F127"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5.7</w:t>
            </w:r>
          </w:p>
        </w:tc>
        <w:tc>
          <w:tcPr>
            <w:tcW w:w="1131" w:type="dxa"/>
            <w:tcBorders>
              <w:top w:val="nil"/>
              <w:left w:val="nil"/>
              <w:bottom w:val="single" w:sz="8" w:space="0" w:color="auto"/>
              <w:right w:val="dotted" w:sz="4" w:space="0" w:color="auto"/>
            </w:tcBorders>
            <w:shd w:val="clear" w:color="000000" w:fill="FFFFFF"/>
            <w:noWrap/>
            <w:vAlign w:val="center"/>
            <w:hideMark/>
          </w:tcPr>
          <w:p w14:paraId="697A5901"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272.7</w:t>
            </w:r>
          </w:p>
        </w:tc>
        <w:tc>
          <w:tcPr>
            <w:tcW w:w="1156" w:type="dxa"/>
            <w:tcBorders>
              <w:top w:val="nil"/>
              <w:left w:val="nil"/>
              <w:bottom w:val="single" w:sz="8" w:space="0" w:color="auto"/>
              <w:right w:val="single" w:sz="8" w:space="0" w:color="auto"/>
            </w:tcBorders>
            <w:shd w:val="clear" w:color="000000" w:fill="FFFFFF"/>
            <w:vAlign w:val="center"/>
            <w:hideMark/>
          </w:tcPr>
          <w:p w14:paraId="15B57486"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2.6</w:t>
            </w:r>
          </w:p>
        </w:tc>
        <w:tc>
          <w:tcPr>
            <w:tcW w:w="1030" w:type="dxa"/>
            <w:tcBorders>
              <w:top w:val="nil"/>
              <w:left w:val="nil"/>
              <w:bottom w:val="single" w:sz="8" w:space="0" w:color="auto"/>
              <w:right w:val="dotted" w:sz="4" w:space="0" w:color="auto"/>
            </w:tcBorders>
            <w:shd w:val="clear" w:color="000000" w:fill="FFFFFF"/>
            <w:vAlign w:val="center"/>
            <w:hideMark/>
          </w:tcPr>
          <w:p w14:paraId="6D440780"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783.3</w:t>
            </w:r>
          </w:p>
        </w:tc>
        <w:tc>
          <w:tcPr>
            <w:tcW w:w="1170" w:type="dxa"/>
            <w:tcBorders>
              <w:top w:val="nil"/>
              <w:left w:val="nil"/>
              <w:bottom w:val="single" w:sz="8" w:space="0" w:color="auto"/>
              <w:right w:val="single" w:sz="8" w:space="0" w:color="auto"/>
            </w:tcBorders>
            <w:shd w:val="clear" w:color="000000" w:fill="FFFFFF"/>
            <w:vAlign w:val="center"/>
            <w:hideMark/>
          </w:tcPr>
          <w:p w14:paraId="65E0BCFF"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3.6</w:t>
            </w:r>
          </w:p>
        </w:tc>
      </w:tr>
      <w:tr w:rsidR="008B4D33" w14:paraId="20F746D8" w14:textId="77777777" w:rsidTr="0056032F">
        <w:trPr>
          <w:trHeight w:val="315"/>
        </w:trPr>
        <w:tc>
          <w:tcPr>
            <w:tcW w:w="1256" w:type="dxa"/>
            <w:vMerge/>
            <w:tcBorders>
              <w:top w:val="nil"/>
              <w:left w:val="single" w:sz="8" w:space="0" w:color="auto"/>
              <w:bottom w:val="single" w:sz="8" w:space="0" w:color="000000"/>
              <w:right w:val="single" w:sz="8" w:space="0" w:color="auto"/>
            </w:tcBorders>
            <w:vAlign w:val="center"/>
            <w:hideMark/>
          </w:tcPr>
          <w:p w14:paraId="41C95243" w14:textId="77777777" w:rsidR="008B4D33" w:rsidRDefault="008B4D33">
            <w:pPr>
              <w:rPr>
                <w:rFonts w:ascii="Calibri" w:hAnsi="Calibri" w:cs="Calibri"/>
                <w:color w:val="000000"/>
                <w:sz w:val="22"/>
                <w:szCs w:val="22"/>
              </w:rPr>
            </w:pPr>
          </w:p>
        </w:tc>
        <w:tc>
          <w:tcPr>
            <w:tcW w:w="1595" w:type="dxa"/>
            <w:tcBorders>
              <w:top w:val="nil"/>
              <w:left w:val="nil"/>
              <w:bottom w:val="single" w:sz="8" w:space="0" w:color="auto"/>
              <w:right w:val="single" w:sz="8" w:space="0" w:color="auto"/>
            </w:tcBorders>
            <w:shd w:val="clear" w:color="000000" w:fill="FFFFFF"/>
            <w:vAlign w:val="center"/>
            <w:hideMark/>
          </w:tcPr>
          <w:p w14:paraId="6365AF13"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Single-family Housing</w:t>
            </w:r>
          </w:p>
        </w:tc>
        <w:tc>
          <w:tcPr>
            <w:tcW w:w="1170" w:type="dxa"/>
            <w:tcBorders>
              <w:top w:val="nil"/>
              <w:left w:val="nil"/>
              <w:bottom w:val="single" w:sz="8" w:space="0" w:color="auto"/>
              <w:right w:val="dotted" w:sz="4" w:space="0" w:color="auto"/>
            </w:tcBorders>
            <w:shd w:val="clear" w:color="000000" w:fill="FFFFFF"/>
            <w:noWrap/>
            <w:vAlign w:val="center"/>
            <w:hideMark/>
          </w:tcPr>
          <w:p w14:paraId="4EFA6AD5"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919.8</w:t>
            </w:r>
          </w:p>
        </w:tc>
        <w:tc>
          <w:tcPr>
            <w:tcW w:w="1695" w:type="dxa"/>
            <w:tcBorders>
              <w:top w:val="nil"/>
              <w:left w:val="nil"/>
              <w:bottom w:val="single" w:sz="8" w:space="0" w:color="auto"/>
              <w:right w:val="single" w:sz="8" w:space="0" w:color="auto"/>
            </w:tcBorders>
            <w:shd w:val="clear" w:color="000000" w:fill="FFFFFF"/>
            <w:vAlign w:val="center"/>
            <w:hideMark/>
          </w:tcPr>
          <w:p w14:paraId="77E13BAD"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11.5</w:t>
            </w:r>
          </w:p>
        </w:tc>
        <w:tc>
          <w:tcPr>
            <w:tcW w:w="1051" w:type="dxa"/>
            <w:tcBorders>
              <w:top w:val="nil"/>
              <w:left w:val="nil"/>
              <w:bottom w:val="single" w:sz="8" w:space="0" w:color="auto"/>
              <w:right w:val="dotted" w:sz="4" w:space="0" w:color="auto"/>
            </w:tcBorders>
            <w:shd w:val="clear" w:color="000000" w:fill="FFFFFF"/>
            <w:noWrap/>
            <w:vAlign w:val="center"/>
            <w:hideMark/>
          </w:tcPr>
          <w:p w14:paraId="16BB54EF"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749.4</w:t>
            </w:r>
          </w:p>
        </w:tc>
        <w:tc>
          <w:tcPr>
            <w:tcW w:w="1156" w:type="dxa"/>
            <w:tcBorders>
              <w:top w:val="nil"/>
              <w:left w:val="nil"/>
              <w:bottom w:val="single" w:sz="8" w:space="0" w:color="auto"/>
              <w:right w:val="single" w:sz="8" w:space="0" w:color="auto"/>
            </w:tcBorders>
            <w:shd w:val="clear" w:color="000000" w:fill="FFFFFF"/>
            <w:vAlign w:val="center"/>
            <w:hideMark/>
          </w:tcPr>
          <w:p w14:paraId="2BB61CAF"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22.5</w:t>
            </w:r>
          </w:p>
        </w:tc>
        <w:tc>
          <w:tcPr>
            <w:tcW w:w="1131" w:type="dxa"/>
            <w:tcBorders>
              <w:top w:val="nil"/>
              <w:left w:val="nil"/>
              <w:bottom w:val="single" w:sz="8" w:space="0" w:color="auto"/>
              <w:right w:val="dotted" w:sz="4" w:space="0" w:color="auto"/>
            </w:tcBorders>
            <w:shd w:val="clear" w:color="000000" w:fill="FFFFFF"/>
            <w:noWrap/>
            <w:vAlign w:val="center"/>
            <w:hideMark/>
          </w:tcPr>
          <w:p w14:paraId="04772079"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1511.9</w:t>
            </w:r>
          </w:p>
        </w:tc>
        <w:tc>
          <w:tcPr>
            <w:tcW w:w="1156" w:type="dxa"/>
            <w:tcBorders>
              <w:top w:val="nil"/>
              <w:left w:val="nil"/>
              <w:bottom w:val="single" w:sz="8" w:space="0" w:color="auto"/>
              <w:right w:val="single" w:sz="8" w:space="0" w:color="auto"/>
            </w:tcBorders>
            <w:shd w:val="clear" w:color="000000" w:fill="FFFFFF"/>
            <w:vAlign w:val="center"/>
            <w:hideMark/>
          </w:tcPr>
          <w:p w14:paraId="69256C97"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14.6</w:t>
            </w:r>
          </w:p>
        </w:tc>
        <w:tc>
          <w:tcPr>
            <w:tcW w:w="1030" w:type="dxa"/>
            <w:tcBorders>
              <w:top w:val="nil"/>
              <w:left w:val="nil"/>
              <w:bottom w:val="single" w:sz="8" w:space="0" w:color="auto"/>
              <w:right w:val="dotted" w:sz="4" w:space="0" w:color="auto"/>
            </w:tcBorders>
            <w:shd w:val="clear" w:color="000000" w:fill="FFFFFF"/>
            <w:vAlign w:val="center"/>
            <w:hideMark/>
          </w:tcPr>
          <w:p w14:paraId="5BC3C441"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3181.1</w:t>
            </w:r>
          </w:p>
        </w:tc>
        <w:tc>
          <w:tcPr>
            <w:tcW w:w="1170" w:type="dxa"/>
            <w:tcBorders>
              <w:top w:val="nil"/>
              <w:left w:val="nil"/>
              <w:bottom w:val="single" w:sz="8" w:space="0" w:color="auto"/>
              <w:right w:val="single" w:sz="8" w:space="0" w:color="auto"/>
            </w:tcBorders>
            <w:shd w:val="clear" w:color="000000" w:fill="FFFFFF"/>
            <w:vAlign w:val="center"/>
            <w:hideMark/>
          </w:tcPr>
          <w:p w14:paraId="004CE4EF"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14.7</w:t>
            </w:r>
          </w:p>
        </w:tc>
      </w:tr>
    </w:tbl>
    <w:p w14:paraId="60739FC3" w14:textId="77777777" w:rsidR="008B4D33" w:rsidRDefault="008B4D33" w:rsidP="005704A8">
      <w:pPr>
        <w:pStyle w:val="NormalWeb"/>
        <w:spacing w:before="0" w:beforeAutospacing="0" w:after="0" w:afterAutospacing="0"/>
        <w:rPr>
          <w:rFonts w:ascii="Arial" w:hAnsi="Arial" w:cs="Arial"/>
          <w:i/>
          <w:sz w:val="18"/>
          <w:szCs w:val="18"/>
        </w:rPr>
      </w:pPr>
    </w:p>
    <w:p w14:paraId="4FC1B7EE" w14:textId="77777777" w:rsidR="008B4D33" w:rsidRDefault="008B4D33" w:rsidP="005704A8">
      <w:pPr>
        <w:pStyle w:val="NormalWeb"/>
        <w:spacing w:before="0" w:beforeAutospacing="0" w:after="0" w:afterAutospacing="0"/>
        <w:rPr>
          <w:rFonts w:ascii="Arial" w:hAnsi="Arial" w:cs="Arial"/>
          <w:i/>
          <w:sz w:val="18"/>
          <w:szCs w:val="18"/>
        </w:rPr>
      </w:pPr>
    </w:p>
    <w:p w14:paraId="640A4A30" w14:textId="033D4458" w:rsidR="008B4D33" w:rsidRDefault="008B4D33" w:rsidP="005704A8">
      <w:pPr>
        <w:pStyle w:val="NormalWeb"/>
        <w:spacing w:before="0" w:beforeAutospacing="0" w:after="0" w:afterAutospacing="0"/>
        <w:rPr>
          <w:rFonts w:ascii="Arial" w:hAnsi="Arial" w:cs="Arial"/>
          <w:i/>
          <w:sz w:val="18"/>
          <w:szCs w:val="18"/>
        </w:rPr>
      </w:pPr>
      <w:r w:rsidRPr="00196975">
        <w:rPr>
          <w:rFonts w:ascii="Arial" w:hAnsi="Arial" w:cs="Arial"/>
          <w:i/>
          <w:sz w:val="18"/>
          <w:szCs w:val="18"/>
        </w:rPr>
        <w:t>Table 2.</w:t>
      </w:r>
      <w:r>
        <w:rPr>
          <w:rFonts w:ascii="Arial" w:hAnsi="Arial" w:cs="Arial"/>
          <w:i/>
          <w:sz w:val="18"/>
          <w:szCs w:val="18"/>
        </w:rPr>
        <w:t>5, continued</w:t>
      </w:r>
      <w:r w:rsidRPr="00196975">
        <w:rPr>
          <w:rFonts w:ascii="Arial" w:hAnsi="Arial" w:cs="Arial"/>
          <w:i/>
          <w:sz w:val="18"/>
          <w:szCs w:val="18"/>
        </w:rPr>
        <w:t>.  20</w:t>
      </w:r>
      <w:r>
        <w:rPr>
          <w:rFonts w:ascii="Arial" w:hAnsi="Arial" w:cs="Arial"/>
          <w:i/>
          <w:sz w:val="18"/>
          <w:szCs w:val="18"/>
        </w:rPr>
        <w:t>20</w:t>
      </w:r>
      <w:r w:rsidRPr="00196975">
        <w:rPr>
          <w:rFonts w:ascii="Arial" w:hAnsi="Arial" w:cs="Arial"/>
          <w:i/>
          <w:sz w:val="18"/>
          <w:szCs w:val="18"/>
        </w:rPr>
        <w:t xml:space="preserve"> Land</w:t>
      </w:r>
      <w:r>
        <w:rPr>
          <w:rFonts w:ascii="Arial" w:hAnsi="Arial" w:cs="Arial"/>
          <w:i/>
          <w:sz w:val="18"/>
          <w:szCs w:val="18"/>
        </w:rPr>
        <w:t xml:space="preserve"> </w:t>
      </w:r>
      <w:r w:rsidRPr="00196975">
        <w:rPr>
          <w:rFonts w:ascii="Arial" w:hAnsi="Arial" w:cs="Arial"/>
          <w:i/>
          <w:sz w:val="18"/>
          <w:szCs w:val="18"/>
        </w:rPr>
        <w:t>use</w:t>
      </w:r>
      <w:r>
        <w:rPr>
          <w:rFonts w:ascii="Arial" w:hAnsi="Arial" w:cs="Arial"/>
          <w:i/>
          <w:sz w:val="18"/>
          <w:szCs w:val="18"/>
        </w:rPr>
        <w:t xml:space="preserve"> and Land cover</w:t>
      </w:r>
      <w:r w:rsidRPr="00196975">
        <w:rPr>
          <w:rFonts w:ascii="Arial" w:hAnsi="Arial" w:cs="Arial"/>
          <w:i/>
          <w:sz w:val="18"/>
          <w:szCs w:val="18"/>
        </w:rPr>
        <w:t xml:space="preserve"> in the Watershed, broken into the sub-watersheds. </w:t>
      </w:r>
    </w:p>
    <w:p w14:paraId="52A1FA40" w14:textId="77777777" w:rsidR="008B4D33" w:rsidRPr="00196975" w:rsidRDefault="008B4D33" w:rsidP="005704A8">
      <w:pPr>
        <w:pStyle w:val="NormalWeb"/>
        <w:spacing w:before="0" w:beforeAutospacing="0" w:after="0" w:afterAutospacing="0"/>
        <w:rPr>
          <w:rFonts w:ascii="Arial" w:hAnsi="Arial" w:cs="Arial"/>
          <w:i/>
          <w:sz w:val="18"/>
          <w:szCs w:val="18"/>
        </w:rPr>
      </w:pPr>
      <w:r w:rsidRPr="00196975">
        <w:rPr>
          <w:rFonts w:ascii="Arial" w:hAnsi="Arial" w:cs="Arial"/>
          <w:i/>
          <w:sz w:val="18"/>
          <w:szCs w:val="18"/>
        </w:rPr>
        <w:t xml:space="preserve"> </w:t>
      </w:r>
    </w:p>
    <w:tbl>
      <w:tblPr>
        <w:tblW w:w="12860" w:type="dxa"/>
        <w:tblLook w:val="04A0" w:firstRow="1" w:lastRow="0" w:firstColumn="1" w:lastColumn="0" w:noHBand="0" w:noVBand="1"/>
      </w:tblPr>
      <w:tblGrid>
        <w:gridCol w:w="1272"/>
        <w:gridCol w:w="1661"/>
        <w:gridCol w:w="1365"/>
        <w:gridCol w:w="1356"/>
        <w:gridCol w:w="1266"/>
        <w:gridCol w:w="1350"/>
        <w:gridCol w:w="1170"/>
        <w:gridCol w:w="1170"/>
        <w:gridCol w:w="990"/>
        <w:gridCol w:w="1260"/>
      </w:tblGrid>
      <w:tr w:rsidR="008B4D33" w14:paraId="57B63234" w14:textId="77777777" w:rsidTr="0056032F">
        <w:trPr>
          <w:trHeight w:val="615"/>
        </w:trPr>
        <w:tc>
          <w:tcPr>
            <w:tcW w:w="1272" w:type="dxa"/>
            <w:tcBorders>
              <w:top w:val="single" w:sz="8" w:space="0" w:color="auto"/>
              <w:left w:val="single" w:sz="8" w:space="0" w:color="auto"/>
              <w:bottom w:val="single" w:sz="8" w:space="0" w:color="auto"/>
              <w:right w:val="nil"/>
            </w:tcBorders>
            <w:shd w:val="clear" w:color="000000" w:fill="FFFFFF"/>
            <w:vAlign w:val="center"/>
            <w:hideMark/>
          </w:tcPr>
          <w:p w14:paraId="2B0A58BF" w14:textId="77777777" w:rsidR="008B4D33" w:rsidRDefault="008B4D33">
            <w:pPr>
              <w:jc w:val="center"/>
              <w:rPr>
                <w:rFonts w:ascii="Calibri" w:hAnsi="Calibri" w:cs="Calibri"/>
                <w:b/>
                <w:bCs/>
                <w:color w:val="000000"/>
                <w:sz w:val="22"/>
                <w:szCs w:val="22"/>
              </w:rPr>
            </w:pPr>
            <w:proofErr w:type="spellStart"/>
            <w:r>
              <w:rPr>
                <w:rFonts w:ascii="Calibri" w:hAnsi="Calibri" w:cs="Calibri"/>
                <w:b/>
                <w:bCs/>
                <w:color w:val="000000"/>
                <w:sz w:val="22"/>
                <w:szCs w:val="22"/>
              </w:rPr>
              <w:t>Landuse</w:t>
            </w:r>
            <w:proofErr w:type="spellEnd"/>
            <w:r>
              <w:rPr>
                <w:rFonts w:ascii="Calibri" w:hAnsi="Calibri" w:cs="Calibri"/>
                <w:b/>
                <w:bCs/>
                <w:color w:val="000000"/>
                <w:sz w:val="22"/>
                <w:szCs w:val="22"/>
              </w:rPr>
              <w:t>/ Landcover</w:t>
            </w:r>
          </w:p>
        </w:tc>
        <w:tc>
          <w:tcPr>
            <w:tcW w:w="1661"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46FB55A7" w14:textId="77777777" w:rsidR="008B4D33" w:rsidRDefault="008B4D33">
            <w:pPr>
              <w:jc w:val="center"/>
              <w:rPr>
                <w:rFonts w:ascii="Calibri" w:hAnsi="Calibri" w:cs="Calibri"/>
                <w:b/>
                <w:bCs/>
                <w:color w:val="000000"/>
                <w:sz w:val="22"/>
                <w:szCs w:val="22"/>
              </w:rPr>
            </w:pPr>
            <w:r>
              <w:rPr>
                <w:rFonts w:ascii="Calibri" w:hAnsi="Calibri" w:cs="Calibri"/>
                <w:b/>
                <w:bCs/>
                <w:color w:val="000000"/>
                <w:sz w:val="22"/>
                <w:szCs w:val="22"/>
              </w:rPr>
              <w:t>Breakout</w:t>
            </w:r>
          </w:p>
        </w:tc>
        <w:tc>
          <w:tcPr>
            <w:tcW w:w="2721" w:type="dxa"/>
            <w:gridSpan w:val="2"/>
            <w:tcBorders>
              <w:top w:val="single" w:sz="8" w:space="0" w:color="auto"/>
              <w:left w:val="nil"/>
              <w:bottom w:val="single" w:sz="8" w:space="0" w:color="auto"/>
              <w:right w:val="single" w:sz="8" w:space="0" w:color="000000"/>
            </w:tcBorders>
            <w:shd w:val="clear" w:color="000000" w:fill="FFFFFF"/>
            <w:vAlign w:val="center"/>
            <w:hideMark/>
          </w:tcPr>
          <w:p w14:paraId="3311BF56" w14:textId="77777777" w:rsidR="008B4D33" w:rsidRDefault="008B4D33">
            <w:pPr>
              <w:jc w:val="center"/>
              <w:rPr>
                <w:rFonts w:ascii="Calibri" w:hAnsi="Calibri" w:cs="Calibri"/>
                <w:b/>
                <w:bCs/>
                <w:color w:val="000000"/>
                <w:sz w:val="22"/>
                <w:szCs w:val="22"/>
              </w:rPr>
            </w:pPr>
            <w:r>
              <w:rPr>
                <w:rFonts w:ascii="Calibri" w:hAnsi="Calibri" w:cs="Calibri"/>
                <w:b/>
                <w:bCs/>
                <w:color w:val="000000"/>
                <w:sz w:val="22"/>
                <w:szCs w:val="22"/>
              </w:rPr>
              <w:t>Superior/Peninsular/Huron River</w:t>
            </w:r>
          </w:p>
        </w:tc>
        <w:tc>
          <w:tcPr>
            <w:tcW w:w="2616" w:type="dxa"/>
            <w:gridSpan w:val="2"/>
            <w:tcBorders>
              <w:top w:val="single" w:sz="8" w:space="0" w:color="auto"/>
              <w:left w:val="nil"/>
              <w:bottom w:val="single" w:sz="8" w:space="0" w:color="auto"/>
              <w:right w:val="single" w:sz="8" w:space="0" w:color="000000"/>
            </w:tcBorders>
            <w:shd w:val="clear" w:color="000000" w:fill="FFFFFF"/>
            <w:vAlign w:val="center"/>
            <w:hideMark/>
          </w:tcPr>
          <w:p w14:paraId="4AE60DA6" w14:textId="77777777" w:rsidR="008B4D33" w:rsidRDefault="008B4D33">
            <w:pPr>
              <w:jc w:val="center"/>
              <w:rPr>
                <w:rFonts w:ascii="Calibri" w:hAnsi="Calibri" w:cs="Calibri"/>
                <w:b/>
                <w:bCs/>
                <w:color w:val="000000"/>
                <w:sz w:val="22"/>
                <w:szCs w:val="22"/>
              </w:rPr>
            </w:pPr>
            <w:r>
              <w:rPr>
                <w:rFonts w:ascii="Calibri" w:hAnsi="Calibri" w:cs="Calibri"/>
                <w:b/>
                <w:bCs/>
                <w:color w:val="000000"/>
                <w:sz w:val="22"/>
                <w:szCs w:val="22"/>
              </w:rPr>
              <w:t>Ford</w:t>
            </w:r>
          </w:p>
        </w:tc>
        <w:tc>
          <w:tcPr>
            <w:tcW w:w="2340" w:type="dxa"/>
            <w:gridSpan w:val="2"/>
            <w:tcBorders>
              <w:top w:val="single" w:sz="8" w:space="0" w:color="auto"/>
              <w:left w:val="nil"/>
              <w:bottom w:val="single" w:sz="8" w:space="0" w:color="auto"/>
              <w:right w:val="single" w:sz="8" w:space="0" w:color="000000"/>
            </w:tcBorders>
            <w:shd w:val="clear" w:color="000000" w:fill="FFFFFF"/>
            <w:vAlign w:val="center"/>
            <w:hideMark/>
          </w:tcPr>
          <w:p w14:paraId="76A6771D" w14:textId="77777777" w:rsidR="008B4D33" w:rsidRDefault="008B4D33">
            <w:pPr>
              <w:jc w:val="center"/>
              <w:rPr>
                <w:rFonts w:ascii="Calibri" w:hAnsi="Calibri" w:cs="Calibri"/>
                <w:b/>
                <w:bCs/>
                <w:color w:val="000000"/>
                <w:sz w:val="22"/>
                <w:szCs w:val="22"/>
              </w:rPr>
            </w:pPr>
            <w:r>
              <w:rPr>
                <w:rFonts w:ascii="Calibri" w:hAnsi="Calibri" w:cs="Calibri"/>
                <w:b/>
                <w:bCs/>
                <w:color w:val="000000"/>
                <w:sz w:val="22"/>
                <w:szCs w:val="22"/>
              </w:rPr>
              <w:t>Belleville</w:t>
            </w:r>
          </w:p>
        </w:tc>
        <w:tc>
          <w:tcPr>
            <w:tcW w:w="2250" w:type="dxa"/>
            <w:gridSpan w:val="2"/>
            <w:tcBorders>
              <w:top w:val="single" w:sz="8" w:space="0" w:color="auto"/>
              <w:left w:val="nil"/>
              <w:bottom w:val="single" w:sz="8" w:space="0" w:color="auto"/>
              <w:right w:val="single" w:sz="8" w:space="0" w:color="auto"/>
            </w:tcBorders>
            <w:shd w:val="clear" w:color="000000" w:fill="FFFFFF"/>
            <w:vAlign w:val="center"/>
            <w:hideMark/>
          </w:tcPr>
          <w:p w14:paraId="6B347D42" w14:textId="77777777" w:rsidR="008B4D33" w:rsidRDefault="008B4D33">
            <w:pPr>
              <w:jc w:val="center"/>
              <w:rPr>
                <w:rFonts w:ascii="Calibri" w:hAnsi="Calibri" w:cs="Calibri"/>
                <w:b/>
                <w:bCs/>
                <w:color w:val="000000"/>
                <w:sz w:val="22"/>
                <w:szCs w:val="22"/>
              </w:rPr>
            </w:pPr>
            <w:r>
              <w:rPr>
                <w:rFonts w:ascii="Calibri" w:hAnsi="Calibri" w:cs="Calibri"/>
                <w:b/>
                <w:bCs/>
                <w:color w:val="000000"/>
                <w:sz w:val="22"/>
                <w:szCs w:val="22"/>
              </w:rPr>
              <w:t>The Watershed (all)</w:t>
            </w:r>
          </w:p>
        </w:tc>
      </w:tr>
      <w:tr w:rsidR="008B4D33" w14:paraId="5D5683CA" w14:textId="77777777" w:rsidTr="0056032F">
        <w:trPr>
          <w:trHeight w:val="615"/>
        </w:trPr>
        <w:tc>
          <w:tcPr>
            <w:tcW w:w="1272" w:type="dxa"/>
            <w:tcBorders>
              <w:top w:val="nil"/>
              <w:left w:val="single" w:sz="8" w:space="0" w:color="auto"/>
              <w:bottom w:val="single" w:sz="8" w:space="0" w:color="auto"/>
              <w:right w:val="nil"/>
            </w:tcBorders>
            <w:shd w:val="clear" w:color="000000" w:fill="FFFFFF"/>
            <w:vAlign w:val="center"/>
            <w:hideMark/>
          </w:tcPr>
          <w:p w14:paraId="03B0DE05"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 </w:t>
            </w:r>
          </w:p>
        </w:tc>
        <w:tc>
          <w:tcPr>
            <w:tcW w:w="1661" w:type="dxa"/>
            <w:tcBorders>
              <w:top w:val="nil"/>
              <w:left w:val="single" w:sz="8" w:space="0" w:color="auto"/>
              <w:bottom w:val="single" w:sz="8" w:space="0" w:color="auto"/>
              <w:right w:val="single" w:sz="8" w:space="0" w:color="auto"/>
            </w:tcBorders>
            <w:shd w:val="clear" w:color="000000" w:fill="FFFFFF"/>
            <w:vAlign w:val="center"/>
            <w:hideMark/>
          </w:tcPr>
          <w:p w14:paraId="33421339" w14:textId="77777777" w:rsidR="008B4D33" w:rsidRDefault="008B4D33">
            <w:pPr>
              <w:jc w:val="center"/>
              <w:rPr>
                <w:rFonts w:ascii="Calibri" w:hAnsi="Calibri" w:cs="Calibri"/>
                <w:b/>
                <w:bCs/>
                <w:color w:val="000000"/>
                <w:sz w:val="22"/>
                <w:szCs w:val="22"/>
              </w:rPr>
            </w:pPr>
            <w:r>
              <w:rPr>
                <w:rFonts w:ascii="Calibri" w:hAnsi="Calibri" w:cs="Calibri"/>
                <w:b/>
                <w:bCs/>
                <w:color w:val="000000"/>
                <w:sz w:val="22"/>
                <w:szCs w:val="22"/>
              </w:rPr>
              <w:t> </w:t>
            </w:r>
          </w:p>
        </w:tc>
        <w:tc>
          <w:tcPr>
            <w:tcW w:w="1365" w:type="dxa"/>
            <w:tcBorders>
              <w:top w:val="nil"/>
              <w:left w:val="nil"/>
              <w:bottom w:val="single" w:sz="8" w:space="0" w:color="auto"/>
              <w:right w:val="nil"/>
            </w:tcBorders>
            <w:shd w:val="clear" w:color="000000" w:fill="FFFFFF"/>
            <w:vAlign w:val="center"/>
            <w:hideMark/>
          </w:tcPr>
          <w:p w14:paraId="08E84E66"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Acres</w:t>
            </w:r>
          </w:p>
        </w:tc>
        <w:tc>
          <w:tcPr>
            <w:tcW w:w="1356" w:type="dxa"/>
            <w:tcBorders>
              <w:top w:val="nil"/>
              <w:left w:val="dotted" w:sz="4" w:space="0" w:color="auto"/>
              <w:bottom w:val="single" w:sz="8" w:space="0" w:color="auto"/>
              <w:right w:val="single" w:sz="8" w:space="0" w:color="auto"/>
            </w:tcBorders>
            <w:shd w:val="clear" w:color="000000" w:fill="FFFFFF"/>
            <w:vAlign w:val="center"/>
            <w:hideMark/>
          </w:tcPr>
          <w:p w14:paraId="5314469E"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 xml:space="preserve">% of </w:t>
            </w:r>
            <w:proofErr w:type="spellStart"/>
            <w:r>
              <w:rPr>
                <w:rFonts w:ascii="Calibri" w:hAnsi="Calibri" w:cs="Calibri"/>
                <w:color w:val="000000"/>
                <w:sz w:val="22"/>
                <w:szCs w:val="22"/>
              </w:rPr>
              <w:t>Creekshed</w:t>
            </w:r>
            <w:proofErr w:type="spellEnd"/>
          </w:p>
        </w:tc>
        <w:tc>
          <w:tcPr>
            <w:tcW w:w="1266" w:type="dxa"/>
            <w:tcBorders>
              <w:top w:val="nil"/>
              <w:left w:val="nil"/>
              <w:bottom w:val="single" w:sz="8" w:space="0" w:color="auto"/>
              <w:right w:val="dotted" w:sz="4" w:space="0" w:color="auto"/>
            </w:tcBorders>
            <w:shd w:val="clear" w:color="000000" w:fill="FFFFFF"/>
            <w:vAlign w:val="center"/>
            <w:hideMark/>
          </w:tcPr>
          <w:p w14:paraId="4BE5F1A4"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Acres</w:t>
            </w:r>
          </w:p>
        </w:tc>
        <w:tc>
          <w:tcPr>
            <w:tcW w:w="1350" w:type="dxa"/>
            <w:tcBorders>
              <w:top w:val="nil"/>
              <w:left w:val="nil"/>
              <w:bottom w:val="single" w:sz="8" w:space="0" w:color="auto"/>
              <w:right w:val="single" w:sz="8" w:space="0" w:color="auto"/>
            </w:tcBorders>
            <w:shd w:val="clear" w:color="000000" w:fill="FFFFFF"/>
            <w:vAlign w:val="center"/>
            <w:hideMark/>
          </w:tcPr>
          <w:p w14:paraId="4F73FD0A"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 xml:space="preserve">% of </w:t>
            </w:r>
            <w:proofErr w:type="spellStart"/>
            <w:r>
              <w:rPr>
                <w:rFonts w:ascii="Calibri" w:hAnsi="Calibri" w:cs="Calibri"/>
                <w:color w:val="000000"/>
                <w:sz w:val="22"/>
                <w:szCs w:val="22"/>
              </w:rPr>
              <w:t>Creekshed</w:t>
            </w:r>
            <w:proofErr w:type="spellEnd"/>
          </w:p>
        </w:tc>
        <w:tc>
          <w:tcPr>
            <w:tcW w:w="1170" w:type="dxa"/>
            <w:tcBorders>
              <w:top w:val="nil"/>
              <w:left w:val="nil"/>
              <w:bottom w:val="single" w:sz="8" w:space="0" w:color="auto"/>
              <w:right w:val="dotted" w:sz="4" w:space="0" w:color="auto"/>
            </w:tcBorders>
            <w:shd w:val="clear" w:color="000000" w:fill="FFFFFF"/>
            <w:vAlign w:val="center"/>
            <w:hideMark/>
          </w:tcPr>
          <w:p w14:paraId="2FBF4805"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Acres</w:t>
            </w:r>
          </w:p>
        </w:tc>
        <w:tc>
          <w:tcPr>
            <w:tcW w:w="1170" w:type="dxa"/>
            <w:tcBorders>
              <w:top w:val="nil"/>
              <w:left w:val="nil"/>
              <w:bottom w:val="single" w:sz="8" w:space="0" w:color="auto"/>
              <w:right w:val="single" w:sz="8" w:space="0" w:color="auto"/>
            </w:tcBorders>
            <w:shd w:val="clear" w:color="000000" w:fill="FFFFFF"/>
            <w:vAlign w:val="center"/>
            <w:hideMark/>
          </w:tcPr>
          <w:p w14:paraId="583AA40F"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 xml:space="preserve">% of </w:t>
            </w:r>
            <w:proofErr w:type="spellStart"/>
            <w:r>
              <w:rPr>
                <w:rFonts w:ascii="Calibri" w:hAnsi="Calibri" w:cs="Calibri"/>
                <w:color w:val="000000"/>
                <w:sz w:val="22"/>
                <w:szCs w:val="22"/>
              </w:rPr>
              <w:t>Creekshed</w:t>
            </w:r>
            <w:proofErr w:type="spellEnd"/>
          </w:p>
        </w:tc>
        <w:tc>
          <w:tcPr>
            <w:tcW w:w="990" w:type="dxa"/>
            <w:tcBorders>
              <w:top w:val="nil"/>
              <w:left w:val="nil"/>
              <w:bottom w:val="single" w:sz="8" w:space="0" w:color="auto"/>
              <w:right w:val="dotted" w:sz="4" w:space="0" w:color="auto"/>
            </w:tcBorders>
            <w:shd w:val="clear" w:color="000000" w:fill="FFFFFF"/>
            <w:vAlign w:val="center"/>
            <w:hideMark/>
          </w:tcPr>
          <w:p w14:paraId="5CB4AEC9"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Acres</w:t>
            </w:r>
          </w:p>
        </w:tc>
        <w:tc>
          <w:tcPr>
            <w:tcW w:w="1260" w:type="dxa"/>
            <w:tcBorders>
              <w:top w:val="nil"/>
              <w:left w:val="nil"/>
              <w:bottom w:val="single" w:sz="8" w:space="0" w:color="auto"/>
              <w:right w:val="single" w:sz="8" w:space="0" w:color="auto"/>
            </w:tcBorders>
            <w:shd w:val="clear" w:color="000000" w:fill="FFFFFF"/>
            <w:vAlign w:val="center"/>
            <w:hideMark/>
          </w:tcPr>
          <w:p w14:paraId="1AA23EF9"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 xml:space="preserve">% of </w:t>
            </w:r>
            <w:proofErr w:type="spellStart"/>
            <w:r>
              <w:rPr>
                <w:rFonts w:ascii="Calibri" w:hAnsi="Calibri" w:cs="Calibri"/>
                <w:color w:val="000000"/>
                <w:sz w:val="22"/>
                <w:szCs w:val="22"/>
              </w:rPr>
              <w:t>Creekshed</w:t>
            </w:r>
            <w:proofErr w:type="spellEnd"/>
          </w:p>
        </w:tc>
      </w:tr>
      <w:tr w:rsidR="008B4D33" w14:paraId="63D003E0" w14:textId="77777777" w:rsidTr="0056032F">
        <w:trPr>
          <w:trHeight w:val="315"/>
        </w:trPr>
        <w:tc>
          <w:tcPr>
            <w:tcW w:w="1272"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5B0AB219"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Forest</w:t>
            </w:r>
          </w:p>
        </w:tc>
        <w:tc>
          <w:tcPr>
            <w:tcW w:w="1661" w:type="dxa"/>
            <w:tcBorders>
              <w:top w:val="nil"/>
              <w:left w:val="nil"/>
              <w:bottom w:val="nil"/>
              <w:right w:val="single" w:sz="8" w:space="0" w:color="auto"/>
            </w:tcBorders>
            <w:shd w:val="clear" w:color="000000" w:fill="FFFFFF"/>
            <w:vAlign w:val="center"/>
            <w:hideMark/>
          </w:tcPr>
          <w:p w14:paraId="445F617E" w14:textId="77777777" w:rsidR="008B4D33" w:rsidRPr="00687645" w:rsidRDefault="008B4D33">
            <w:pPr>
              <w:jc w:val="center"/>
              <w:rPr>
                <w:rFonts w:ascii="Calibri" w:hAnsi="Calibri" w:cs="Calibri"/>
                <w:i/>
                <w:iCs/>
                <w:color w:val="000000"/>
                <w:sz w:val="22"/>
                <w:szCs w:val="22"/>
              </w:rPr>
            </w:pPr>
            <w:r w:rsidRPr="00687645">
              <w:rPr>
                <w:rFonts w:ascii="Calibri" w:hAnsi="Calibri" w:cs="Calibri"/>
                <w:i/>
                <w:iCs/>
                <w:color w:val="000000"/>
                <w:sz w:val="22"/>
                <w:szCs w:val="22"/>
              </w:rPr>
              <w:t>Total Forest</w:t>
            </w:r>
          </w:p>
        </w:tc>
        <w:tc>
          <w:tcPr>
            <w:tcW w:w="1365" w:type="dxa"/>
            <w:tcBorders>
              <w:top w:val="nil"/>
              <w:left w:val="nil"/>
              <w:bottom w:val="single" w:sz="8" w:space="0" w:color="auto"/>
              <w:right w:val="dotted" w:sz="4" w:space="0" w:color="auto"/>
            </w:tcBorders>
            <w:shd w:val="clear" w:color="000000" w:fill="FFFFFF"/>
            <w:vAlign w:val="center"/>
            <w:hideMark/>
          </w:tcPr>
          <w:p w14:paraId="1A2BF4A5" w14:textId="77777777" w:rsidR="008B4D33" w:rsidRPr="00687645" w:rsidRDefault="008B4D33">
            <w:pPr>
              <w:jc w:val="center"/>
              <w:rPr>
                <w:rFonts w:ascii="Calibri" w:hAnsi="Calibri" w:cs="Calibri"/>
                <w:i/>
                <w:iCs/>
                <w:color w:val="000000"/>
                <w:sz w:val="22"/>
                <w:szCs w:val="22"/>
              </w:rPr>
            </w:pPr>
            <w:r w:rsidRPr="00687645">
              <w:rPr>
                <w:rFonts w:ascii="Calibri" w:hAnsi="Calibri" w:cs="Calibri"/>
                <w:i/>
                <w:iCs/>
                <w:color w:val="000000"/>
                <w:sz w:val="22"/>
                <w:szCs w:val="22"/>
              </w:rPr>
              <w:t>1658.5</w:t>
            </w:r>
          </w:p>
        </w:tc>
        <w:tc>
          <w:tcPr>
            <w:tcW w:w="1356" w:type="dxa"/>
            <w:tcBorders>
              <w:top w:val="nil"/>
              <w:left w:val="nil"/>
              <w:bottom w:val="single" w:sz="8" w:space="0" w:color="auto"/>
              <w:right w:val="single" w:sz="8" w:space="0" w:color="auto"/>
            </w:tcBorders>
            <w:shd w:val="clear" w:color="000000" w:fill="FFFFFF"/>
            <w:vAlign w:val="center"/>
            <w:hideMark/>
          </w:tcPr>
          <w:p w14:paraId="23551790" w14:textId="77777777" w:rsidR="008B4D33" w:rsidRPr="00687645" w:rsidRDefault="008B4D33">
            <w:pPr>
              <w:jc w:val="center"/>
              <w:rPr>
                <w:rFonts w:ascii="Calibri" w:hAnsi="Calibri" w:cs="Calibri"/>
                <w:i/>
                <w:iCs/>
                <w:color w:val="000000"/>
                <w:sz w:val="22"/>
                <w:szCs w:val="22"/>
              </w:rPr>
            </w:pPr>
            <w:r w:rsidRPr="00687645">
              <w:rPr>
                <w:rFonts w:ascii="Calibri" w:hAnsi="Calibri" w:cs="Calibri"/>
                <w:i/>
                <w:iCs/>
                <w:color w:val="000000"/>
                <w:sz w:val="22"/>
                <w:szCs w:val="22"/>
              </w:rPr>
              <w:t>20.7</w:t>
            </w:r>
          </w:p>
        </w:tc>
        <w:tc>
          <w:tcPr>
            <w:tcW w:w="1266" w:type="dxa"/>
            <w:tcBorders>
              <w:top w:val="nil"/>
              <w:left w:val="nil"/>
              <w:bottom w:val="single" w:sz="8" w:space="0" w:color="auto"/>
              <w:right w:val="dotted" w:sz="4" w:space="0" w:color="auto"/>
            </w:tcBorders>
            <w:shd w:val="clear" w:color="000000" w:fill="FFFFFF"/>
            <w:vAlign w:val="center"/>
            <w:hideMark/>
          </w:tcPr>
          <w:p w14:paraId="1275BCF1" w14:textId="77777777" w:rsidR="008B4D33" w:rsidRPr="00687645" w:rsidRDefault="008B4D33">
            <w:pPr>
              <w:jc w:val="center"/>
              <w:rPr>
                <w:rFonts w:ascii="Calibri" w:hAnsi="Calibri" w:cs="Calibri"/>
                <w:i/>
                <w:iCs/>
                <w:color w:val="000000"/>
                <w:sz w:val="22"/>
                <w:szCs w:val="22"/>
              </w:rPr>
            </w:pPr>
            <w:r w:rsidRPr="00687645">
              <w:rPr>
                <w:rFonts w:ascii="Calibri" w:hAnsi="Calibri" w:cs="Calibri"/>
                <w:i/>
                <w:iCs/>
                <w:color w:val="000000"/>
                <w:sz w:val="22"/>
                <w:szCs w:val="22"/>
              </w:rPr>
              <w:t>188.1</w:t>
            </w:r>
          </w:p>
        </w:tc>
        <w:tc>
          <w:tcPr>
            <w:tcW w:w="1350" w:type="dxa"/>
            <w:tcBorders>
              <w:top w:val="nil"/>
              <w:left w:val="nil"/>
              <w:bottom w:val="single" w:sz="8" w:space="0" w:color="auto"/>
              <w:right w:val="single" w:sz="8" w:space="0" w:color="auto"/>
            </w:tcBorders>
            <w:shd w:val="clear" w:color="000000" w:fill="FFFFFF"/>
            <w:vAlign w:val="center"/>
            <w:hideMark/>
          </w:tcPr>
          <w:p w14:paraId="49DE23EB" w14:textId="77777777" w:rsidR="008B4D33" w:rsidRPr="00687645" w:rsidRDefault="008B4D33">
            <w:pPr>
              <w:jc w:val="center"/>
              <w:rPr>
                <w:rFonts w:ascii="Calibri" w:hAnsi="Calibri" w:cs="Calibri"/>
                <w:i/>
                <w:iCs/>
                <w:color w:val="000000"/>
                <w:sz w:val="22"/>
                <w:szCs w:val="22"/>
              </w:rPr>
            </w:pPr>
            <w:r w:rsidRPr="00687645">
              <w:rPr>
                <w:rFonts w:ascii="Calibri" w:hAnsi="Calibri" w:cs="Calibri"/>
                <w:i/>
                <w:iCs/>
                <w:color w:val="000000"/>
                <w:sz w:val="22"/>
                <w:szCs w:val="22"/>
              </w:rPr>
              <w:t>5.7</w:t>
            </w:r>
          </w:p>
        </w:tc>
        <w:tc>
          <w:tcPr>
            <w:tcW w:w="1170" w:type="dxa"/>
            <w:tcBorders>
              <w:top w:val="nil"/>
              <w:left w:val="nil"/>
              <w:bottom w:val="single" w:sz="8" w:space="0" w:color="auto"/>
              <w:right w:val="dotted" w:sz="4" w:space="0" w:color="auto"/>
            </w:tcBorders>
            <w:shd w:val="clear" w:color="000000" w:fill="FFFFFF"/>
            <w:vAlign w:val="center"/>
            <w:hideMark/>
          </w:tcPr>
          <w:p w14:paraId="6A14DB51" w14:textId="77777777" w:rsidR="008B4D33" w:rsidRPr="00687645" w:rsidRDefault="008B4D33">
            <w:pPr>
              <w:jc w:val="center"/>
              <w:rPr>
                <w:rFonts w:ascii="Calibri" w:hAnsi="Calibri" w:cs="Calibri"/>
                <w:i/>
                <w:iCs/>
                <w:color w:val="000000"/>
                <w:sz w:val="22"/>
                <w:szCs w:val="22"/>
              </w:rPr>
            </w:pPr>
            <w:r w:rsidRPr="00687645">
              <w:rPr>
                <w:rFonts w:ascii="Calibri" w:hAnsi="Calibri" w:cs="Calibri"/>
                <w:i/>
                <w:iCs/>
                <w:color w:val="000000"/>
                <w:sz w:val="22"/>
                <w:szCs w:val="22"/>
              </w:rPr>
              <w:t>858.2</w:t>
            </w:r>
          </w:p>
        </w:tc>
        <w:tc>
          <w:tcPr>
            <w:tcW w:w="1170" w:type="dxa"/>
            <w:tcBorders>
              <w:top w:val="nil"/>
              <w:left w:val="nil"/>
              <w:bottom w:val="single" w:sz="8" w:space="0" w:color="auto"/>
              <w:right w:val="single" w:sz="8" w:space="0" w:color="auto"/>
            </w:tcBorders>
            <w:shd w:val="clear" w:color="000000" w:fill="FFFFFF"/>
            <w:vAlign w:val="center"/>
            <w:hideMark/>
          </w:tcPr>
          <w:p w14:paraId="3D2E9050" w14:textId="77777777" w:rsidR="008B4D33" w:rsidRPr="00687645" w:rsidRDefault="008B4D33">
            <w:pPr>
              <w:jc w:val="center"/>
              <w:rPr>
                <w:rFonts w:ascii="Calibri" w:hAnsi="Calibri" w:cs="Calibri"/>
                <w:i/>
                <w:iCs/>
                <w:color w:val="000000"/>
                <w:sz w:val="22"/>
                <w:szCs w:val="22"/>
              </w:rPr>
            </w:pPr>
            <w:r w:rsidRPr="00687645">
              <w:rPr>
                <w:rFonts w:ascii="Calibri" w:hAnsi="Calibri" w:cs="Calibri"/>
                <w:i/>
                <w:iCs/>
                <w:color w:val="000000"/>
                <w:sz w:val="22"/>
                <w:szCs w:val="22"/>
              </w:rPr>
              <w:t>8.3</w:t>
            </w:r>
          </w:p>
        </w:tc>
        <w:tc>
          <w:tcPr>
            <w:tcW w:w="990" w:type="dxa"/>
            <w:tcBorders>
              <w:top w:val="nil"/>
              <w:left w:val="nil"/>
              <w:bottom w:val="single" w:sz="8" w:space="0" w:color="auto"/>
              <w:right w:val="dotted" w:sz="4" w:space="0" w:color="auto"/>
            </w:tcBorders>
            <w:shd w:val="clear" w:color="000000" w:fill="FFFFFF"/>
            <w:vAlign w:val="center"/>
            <w:hideMark/>
          </w:tcPr>
          <w:p w14:paraId="3E631764" w14:textId="77777777" w:rsidR="008B4D33" w:rsidRPr="00687645" w:rsidRDefault="008B4D33">
            <w:pPr>
              <w:jc w:val="center"/>
              <w:rPr>
                <w:rFonts w:ascii="Calibri" w:hAnsi="Calibri" w:cs="Calibri"/>
                <w:i/>
                <w:iCs/>
                <w:color w:val="000000"/>
                <w:sz w:val="22"/>
                <w:szCs w:val="22"/>
              </w:rPr>
            </w:pPr>
            <w:r w:rsidRPr="00687645">
              <w:rPr>
                <w:rFonts w:ascii="Calibri" w:hAnsi="Calibri" w:cs="Calibri"/>
                <w:i/>
                <w:iCs/>
                <w:color w:val="000000"/>
                <w:sz w:val="22"/>
                <w:szCs w:val="22"/>
              </w:rPr>
              <w:t>2704.8</w:t>
            </w:r>
          </w:p>
        </w:tc>
        <w:tc>
          <w:tcPr>
            <w:tcW w:w="1260" w:type="dxa"/>
            <w:tcBorders>
              <w:top w:val="nil"/>
              <w:left w:val="nil"/>
              <w:bottom w:val="single" w:sz="8" w:space="0" w:color="auto"/>
              <w:right w:val="single" w:sz="8" w:space="0" w:color="auto"/>
            </w:tcBorders>
            <w:shd w:val="clear" w:color="000000" w:fill="FFFFFF"/>
            <w:vAlign w:val="center"/>
            <w:hideMark/>
          </w:tcPr>
          <w:p w14:paraId="7A85385B" w14:textId="77777777" w:rsidR="008B4D33" w:rsidRPr="00687645" w:rsidRDefault="008B4D33">
            <w:pPr>
              <w:jc w:val="center"/>
              <w:rPr>
                <w:rFonts w:ascii="Calibri" w:hAnsi="Calibri" w:cs="Calibri"/>
                <w:i/>
                <w:iCs/>
                <w:color w:val="000000"/>
                <w:sz w:val="22"/>
                <w:szCs w:val="22"/>
              </w:rPr>
            </w:pPr>
            <w:r w:rsidRPr="00687645">
              <w:rPr>
                <w:rFonts w:ascii="Calibri" w:hAnsi="Calibri" w:cs="Calibri"/>
                <w:i/>
                <w:iCs/>
                <w:color w:val="000000"/>
                <w:sz w:val="22"/>
                <w:szCs w:val="22"/>
              </w:rPr>
              <w:t>12.5</w:t>
            </w:r>
          </w:p>
        </w:tc>
      </w:tr>
      <w:tr w:rsidR="008B4D33" w14:paraId="4900E688" w14:textId="77777777" w:rsidTr="0056032F">
        <w:trPr>
          <w:trHeight w:val="315"/>
        </w:trPr>
        <w:tc>
          <w:tcPr>
            <w:tcW w:w="1272" w:type="dxa"/>
            <w:vMerge/>
            <w:tcBorders>
              <w:top w:val="nil"/>
              <w:left w:val="single" w:sz="8" w:space="0" w:color="auto"/>
              <w:bottom w:val="single" w:sz="8" w:space="0" w:color="000000"/>
              <w:right w:val="single" w:sz="8" w:space="0" w:color="auto"/>
            </w:tcBorders>
            <w:vAlign w:val="center"/>
            <w:hideMark/>
          </w:tcPr>
          <w:p w14:paraId="3E319C4A" w14:textId="77777777" w:rsidR="008B4D33" w:rsidRDefault="008B4D33">
            <w:pPr>
              <w:rPr>
                <w:rFonts w:ascii="Calibri" w:hAnsi="Calibri" w:cs="Calibri"/>
                <w:color w:val="000000"/>
                <w:sz w:val="22"/>
                <w:szCs w:val="22"/>
              </w:rPr>
            </w:pPr>
          </w:p>
        </w:tc>
        <w:tc>
          <w:tcPr>
            <w:tcW w:w="1661" w:type="dxa"/>
            <w:tcBorders>
              <w:top w:val="nil"/>
              <w:left w:val="nil"/>
              <w:bottom w:val="nil"/>
              <w:right w:val="single" w:sz="8" w:space="0" w:color="auto"/>
            </w:tcBorders>
            <w:shd w:val="clear" w:color="000000" w:fill="FFFFFF"/>
            <w:vAlign w:val="center"/>
            <w:hideMark/>
          </w:tcPr>
          <w:p w14:paraId="10459CA6"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Beech Maple</w:t>
            </w:r>
          </w:p>
        </w:tc>
        <w:tc>
          <w:tcPr>
            <w:tcW w:w="1365" w:type="dxa"/>
            <w:tcBorders>
              <w:top w:val="nil"/>
              <w:left w:val="nil"/>
              <w:bottom w:val="single" w:sz="8" w:space="0" w:color="auto"/>
              <w:right w:val="dotted" w:sz="4" w:space="0" w:color="auto"/>
            </w:tcBorders>
            <w:shd w:val="clear" w:color="000000" w:fill="FFFFFF"/>
            <w:noWrap/>
            <w:vAlign w:val="center"/>
            <w:hideMark/>
          </w:tcPr>
          <w:p w14:paraId="59975702"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19.3</w:t>
            </w:r>
          </w:p>
        </w:tc>
        <w:tc>
          <w:tcPr>
            <w:tcW w:w="1356" w:type="dxa"/>
            <w:tcBorders>
              <w:top w:val="nil"/>
              <w:left w:val="nil"/>
              <w:bottom w:val="single" w:sz="8" w:space="0" w:color="auto"/>
              <w:right w:val="single" w:sz="8" w:space="0" w:color="auto"/>
            </w:tcBorders>
            <w:shd w:val="clear" w:color="000000" w:fill="FFFFFF"/>
            <w:vAlign w:val="center"/>
            <w:hideMark/>
          </w:tcPr>
          <w:p w14:paraId="1DF1C53D"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0.2</w:t>
            </w:r>
          </w:p>
        </w:tc>
        <w:tc>
          <w:tcPr>
            <w:tcW w:w="1266" w:type="dxa"/>
            <w:tcBorders>
              <w:top w:val="nil"/>
              <w:left w:val="nil"/>
              <w:bottom w:val="single" w:sz="8" w:space="0" w:color="auto"/>
              <w:right w:val="dotted" w:sz="4" w:space="0" w:color="auto"/>
            </w:tcBorders>
            <w:shd w:val="clear" w:color="000000" w:fill="FFFFFF"/>
            <w:noWrap/>
            <w:vAlign w:val="center"/>
            <w:hideMark/>
          </w:tcPr>
          <w:p w14:paraId="5F288302"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0.1</w:t>
            </w:r>
          </w:p>
        </w:tc>
        <w:tc>
          <w:tcPr>
            <w:tcW w:w="1350" w:type="dxa"/>
            <w:tcBorders>
              <w:top w:val="nil"/>
              <w:left w:val="nil"/>
              <w:bottom w:val="single" w:sz="8" w:space="0" w:color="auto"/>
              <w:right w:val="single" w:sz="8" w:space="0" w:color="auto"/>
            </w:tcBorders>
            <w:shd w:val="clear" w:color="000000" w:fill="FFFFFF"/>
            <w:vAlign w:val="center"/>
            <w:hideMark/>
          </w:tcPr>
          <w:p w14:paraId="3036D95E"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0.0</w:t>
            </w:r>
          </w:p>
        </w:tc>
        <w:tc>
          <w:tcPr>
            <w:tcW w:w="1170" w:type="dxa"/>
            <w:tcBorders>
              <w:top w:val="nil"/>
              <w:left w:val="nil"/>
              <w:bottom w:val="single" w:sz="8" w:space="0" w:color="auto"/>
              <w:right w:val="dotted" w:sz="4" w:space="0" w:color="auto"/>
            </w:tcBorders>
            <w:shd w:val="clear" w:color="000000" w:fill="FFFFFF"/>
            <w:noWrap/>
            <w:vAlign w:val="center"/>
            <w:hideMark/>
          </w:tcPr>
          <w:p w14:paraId="433DA55E"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7.2</w:t>
            </w:r>
          </w:p>
        </w:tc>
        <w:tc>
          <w:tcPr>
            <w:tcW w:w="1170" w:type="dxa"/>
            <w:tcBorders>
              <w:top w:val="nil"/>
              <w:left w:val="nil"/>
              <w:bottom w:val="single" w:sz="8" w:space="0" w:color="auto"/>
              <w:right w:val="single" w:sz="8" w:space="0" w:color="auto"/>
            </w:tcBorders>
            <w:shd w:val="clear" w:color="000000" w:fill="FFFFFF"/>
            <w:vAlign w:val="center"/>
            <w:hideMark/>
          </w:tcPr>
          <w:p w14:paraId="2EFDE629"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0.1</w:t>
            </w:r>
          </w:p>
        </w:tc>
        <w:tc>
          <w:tcPr>
            <w:tcW w:w="990" w:type="dxa"/>
            <w:tcBorders>
              <w:top w:val="nil"/>
              <w:left w:val="nil"/>
              <w:bottom w:val="single" w:sz="8" w:space="0" w:color="auto"/>
              <w:right w:val="dotted" w:sz="4" w:space="0" w:color="auto"/>
            </w:tcBorders>
            <w:shd w:val="clear" w:color="000000" w:fill="FFFFFF"/>
            <w:vAlign w:val="center"/>
            <w:hideMark/>
          </w:tcPr>
          <w:p w14:paraId="5D7372A8"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26.6</w:t>
            </w:r>
          </w:p>
        </w:tc>
        <w:tc>
          <w:tcPr>
            <w:tcW w:w="1260" w:type="dxa"/>
            <w:tcBorders>
              <w:top w:val="nil"/>
              <w:left w:val="nil"/>
              <w:bottom w:val="single" w:sz="8" w:space="0" w:color="auto"/>
              <w:right w:val="single" w:sz="8" w:space="0" w:color="auto"/>
            </w:tcBorders>
            <w:shd w:val="clear" w:color="000000" w:fill="FFFFFF"/>
            <w:vAlign w:val="center"/>
            <w:hideMark/>
          </w:tcPr>
          <w:p w14:paraId="310286FA"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0.1</w:t>
            </w:r>
          </w:p>
        </w:tc>
      </w:tr>
      <w:tr w:rsidR="008B4D33" w14:paraId="3E8C2E8A" w14:textId="77777777" w:rsidTr="0056032F">
        <w:trPr>
          <w:trHeight w:val="315"/>
        </w:trPr>
        <w:tc>
          <w:tcPr>
            <w:tcW w:w="1272" w:type="dxa"/>
            <w:vMerge/>
            <w:tcBorders>
              <w:top w:val="nil"/>
              <w:left w:val="single" w:sz="8" w:space="0" w:color="auto"/>
              <w:bottom w:val="single" w:sz="8" w:space="0" w:color="000000"/>
              <w:right w:val="single" w:sz="8" w:space="0" w:color="auto"/>
            </w:tcBorders>
            <w:vAlign w:val="center"/>
            <w:hideMark/>
          </w:tcPr>
          <w:p w14:paraId="4298D4B6" w14:textId="77777777" w:rsidR="008B4D33" w:rsidRDefault="008B4D33">
            <w:pPr>
              <w:rPr>
                <w:rFonts w:ascii="Calibri" w:hAnsi="Calibri" w:cs="Calibri"/>
                <w:color w:val="000000"/>
                <w:sz w:val="22"/>
                <w:szCs w:val="22"/>
              </w:rPr>
            </w:pPr>
          </w:p>
        </w:tc>
        <w:tc>
          <w:tcPr>
            <w:tcW w:w="1661" w:type="dxa"/>
            <w:tcBorders>
              <w:top w:val="nil"/>
              <w:left w:val="nil"/>
              <w:bottom w:val="nil"/>
              <w:right w:val="single" w:sz="8" w:space="0" w:color="auto"/>
            </w:tcBorders>
            <w:shd w:val="clear" w:color="000000" w:fill="FFFFFF"/>
            <w:vAlign w:val="center"/>
            <w:hideMark/>
          </w:tcPr>
          <w:p w14:paraId="7C2513C5"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Central Hardwood/Oak</w:t>
            </w:r>
          </w:p>
        </w:tc>
        <w:tc>
          <w:tcPr>
            <w:tcW w:w="1365" w:type="dxa"/>
            <w:tcBorders>
              <w:top w:val="nil"/>
              <w:left w:val="nil"/>
              <w:bottom w:val="single" w:sz="8" w:space="0" w:color="auto"/>
              <w:right w:val="dotted" w:sz="4" w:space="0" w:color="auto"/>
            </w:tcBorders>
            <w:shd w:val="clear" w:color="000000" w:fill="FFFFFF"/>
            <w:noWrap/>
            <w:vAlign w:val="center"/>
            <w:hideMark/>
          </w:tcPr>
          <w:p w14:paraId="35745B9C"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357.1</w:t>
            </w:r>
          </w:p>
        </w:tc>
        <w:tc>
          <w:tcPr>
            <w:tcW w:w="1356" w:type="dxa"/>
            <w:tcBorders>
              <w:top w:val="nil"/>
              <w:left w:val="nil"/>
              <w:bottom w:val="single" w:sz="8" w:space="0" w:color="auto"/>
              <w:right w:val="single" w:sz="8" w:space="0" w:color="auto"/>
            </w:tcBorders>
            <w:shd w:val="clear" w:color="000000" w:fill="FFFFFF"/>
            <w:vAlign w:val="center"/>
            <w:hideMark/>
          </w:tcPr>
          <w:p w14:paraId="4BEB5101"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4.5</w:t>
            </w:r>
          </w:p>
        </w:tc>
        <w:tc>
          <w:tcPr>
            <w:tcW w:w="1266" w:type="dxa"/>
            <w:tcBorders>
              <w:top w:val="nil"/>
              <w:left w:val="nil"/>
              <w:bottom w:val="single" w:sz="8" w:space="0" w:color="auto"/>
              <w:right w:val="dotted" w:sz="4" w:space="0" w:color="auto"/>
            </w:tcBorders>
            <w:shd w:val="clear" w:color="000000" w:fill="FFFFFF"/>
            <w:noWrap/>
            <w:vAlign w:val="center"/>
            <w:hideMark/>
          </w:tcPr>
          <w:p w14:paraId="1D8F6B55"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78.8</w:t>
            </w:r>
          </w:p>
        </w:tc>
        <w:tc>
          <w:tcPr>
            <w:tcW w:w="1350" w:type="dxa"/>
            <w:tcBorders>
              <w:top w:val="nil"/>
              <w:left w:val="nil"/>
              <w:bottom w:val="single" w:sz="8" w:space="0" w:color="auto"/>
              <w:right w:val="single" w:sz="8" w:space="0" w:color="auto"/>
            </w:tcBorders>
            <w:shd w:val="clear" w:color="000000" w:fill="FFFFFF"/>
            <w:vAlign w:val="center"/>
            <w:hideMark/>
          </w:tcPr>
          <w:p w14:paraId="221558CC"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2.4</w:t>
            </w:r>
          </w:p>
        </w:tc>
        <w:tc>
          <w:tcPr>
            <w:tcW w:w="1170" w:type="dxa"/>
            <w:tcBorders>
              <w:top w:val="nil"/>
              <w:left w:val="nil"/>
              <w:bottom w:val="single" w:sz="8" w:space="0" w:color="auto"/>
              <w:right w:val="dotted" w:sz="4" w:space="0" w:color="auto"/>
            </w:tcBorders>
            <w:shd w:val="clear" w:color="000000" w:fill="FFFFFF"/>
            <w:noWrap/>
            <w:vAlign w:val="center"/>
            <w:hideMark/>
          </w:tcPr>
          <w:p w14:paraId="27FC5770"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250.8</w:t>
            </w:r>
          </w:p>
        </w:tc>
        <w:tc>
          <w:tcPr>
            <w:tcW w:w="1170" w:type="dxa"/>
            <w:tcBorders>
              <w:top w:val="nil"/>
              <w:left w:val="nil"/>
              <w:bottom w:val="single" w:sz="8" w:space="0" w:color="auto"/>
              <w:right w:val="single" w:sz="8" w:space="0" w:color="auto"/>
            </w:tcBorders>
            <w:shd w:val="clear" w:color="000000" w:fill="FFFFFF"/>
            <w:vAlign w:val="center"/>
            <w:hideMark/>
          </w:tcPr>
          <w:p w14:paraId="16B3288D"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2.4</w:t>
            </w:r>
          </w:p>
        </w:tc>
        <w:tc>
          <w:tcPr>
            <w:tcW w:w="990" w:type="dxa"/>
            <w:tcBorders>
              <w:top w:val="nil"/>
              <w:left w:val="nil"/>
              <w:bottom w:val="single" w:sz="8" w:space="0" w:color="auto"/>
              <w:right w:val="dotted" w:sz="4" w:space="0" w:color="auto"/>
            </w:tcBorders>
            <w:shd w:val="clear" w:color="000000" w:fill="FFFFFF"/>
            <w:vAlign w:val="center"/>
            <w:hideMark/>
          </w:tcPr>
          <w:p w14:paraId="722759EC"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686.7</w:t>
            </w:r>
          </w:p>
        </w:tc>
        <w:tc>
          <w:tcPr>
            <w:tcW w:w="1260" w:type="dxa"/>
            <w:tcBorders>
              <w:top w:val="nil"/>
              <w:left w:val="nil"/>
              <w:bottom w:val="single" w:sz="8" w:space="0" w:color="auto"/>
              <w:right w:val="single" w:sz="8" w:space="0" w:color="auto"/>
            </w:tcBorders>
            <w:shd w:val="clear" w:color="000000" w:fill="FFFFFF"/>
            <w:vAlign w:val="center"/>
            <w:hideMark/>
          </w:tcPr>
          <w:p w14:paraId="6AB1B57B"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3.2</w:t>
            </w:r>
          </w:p>
        </w:tc>
      </w:tr>
      <w:tr w:rsidR="008B4D33" w14:paraId="5FA6D08C" w14:textId="77777777" w:rsidTr="0056032F">
        <w:trPr>
          <w:trHeight w:val="315"/>
        </w:trPr>
        <w:tc>
          <w:tcPr>
            <w:tcW w:w="1272" w:type="dxa"/>
            <w:vMerge/>
            <w:tcBorders>
              <w:top w:val="nil"/>
              <w:left w:val="single" w:sz="8" w:space="0" w:color="auto"/>
              <w:bottom w:val="single" w:sz="8" w:space="0" w:color="000000"/>
              <w:right w:val="single" w:sz="8" w:space="0" w:color="auto"/>
            </w:tcBorders>
            <w:vAlign w:val="center"/>
            <w:hideMark/>
          </w:tcPr>
          <w:p w14:paraId="22E22B77" w14:textId="77777777" w:rsidR="008B4D33" w:rsidRDefault="008B4D33">
            <w:pPr>
              <w:rPr>
                <w:rFonts w:ascii="Calibri" w:hAnsi="Calibri" w:cs="Calibri"/>
                <w:color w:val="000000"/>
                <w:sz w:val="22"/>
                <w:szCs w:val="22"/>
              </w:rPr>
            </w:pPr>
          </w:p>
        </w:tc>
        <w:tc>
          <w:tcPr>
            <w:tcW w:w="1661" w:type="dxa"/>
            <w:tcBorders>
              <w:top w:val="nil"/>
              <w:left w:val="nil"/>
              <w:bottom w:val="nil"/>
              <w:right w:val="single" w:sz="8" w:space="0" w:color="auto"/>
            </w:tcBorders>
            <w:shd w:val="clear" w:color="000000" w:fill="FFFFFF"/>
            <w:vAlign w:val="center"/>
            <w:hideMark/>
          </w:tcPr>
          <w:p w14:paraId="59AA4B12"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Dry-Mesic Oak Forest</w:t>
            </w:r>
          </w:p>
        </w:tc>
        <w:tc>
          <w:tcPr>
            <w:tcW w:w="1365" w:type="dxa"/>
            <w:tcBorders>
              <w:top w:val="nil"/>
              <w:left w:val="nil"/>
              <w:bottom w:val="single" w:sz="8" w:space="0" w:color="auto"/>
              <w:right w:val="dotted" w:sz="4" w:space="0" w:color="auto"/>
            </w:tcBorders>
            <w:shd w:val="clear" w:color="000000" w:fill="FFFFFF"/>
            <w:noWrap/>
            <w:vAlign w:val="center"/>
            <w:hideMark/>
          </w:tcPr>
          <w:p w14:paraId="750EDF62"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58.6</w:t>
            </w:r>
          </w:p>
        </w:tc>
        <w:tc>
          <w:tcPr>
            <w:tcW w:w="1356" w:type="dxa"/>
            <w:tcBorders>
              <w:top w:val="nil"/>
              <w:left w:val="nil"/>
              <w:bottom w:val="single" w:sz="8" w:space="0" w:color="auto"/>
              <w:right w:val="single" w:sz="8" w:space="0" w:color="auto"/>
            </w:tcBorders>
            <w:shd w:val="clear" w:color="000000" w:fill="FFFFFF"/>
            <w:vAlign w:val="center"/>
            <w:hideMark/>
          </w:tcPr>
          <w:p w14:paraId="569C9761"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0.7</w:t>
            </w:r>
          </w:p>
        </w:tc>
        <w:tc>
          <w:tcPr>
            <w:tcW w:w="1266" w:type="dxa"/>
            <w:tcBorders>
              <w:top w:val="nil"/>
              <w:left w:val="nil"/>
              <w:bottom w:val="single" w:sz="8" w:space="0" w:color="auto"/>
              <w:right w:val="dotted" w:sz="4" w:space="0" w:color="auto"/>
            </w:tcBorders>
            <w:shd w:val="clear" w:color="000000" w:fill="FFFFFF"/>
            <w:noWrap/>
            <w:vAlign w:val="center"/>
            <w:hideMark/>
          </w:tcPr>
          <w:p w14:paraId="506849EA"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0.8</w:t>
            </w:r>
          </w:p>
        </w:tc>
        <w:tc>
          <w:tcPr>
            <w:tcW w:w="1350" w:type="dxa"/>
            <w:tcBorders>
              <w:top w:val="nil"/>
              <w:left w:val="nil"/>
              <w:bottom w:val="single" w:sz="8" w:space="0" w:color="auto"/>
              <w:right w:val="single" w:sz="8" w:space="0" w:color="auto"/>
            </w:tcBorders>
            <w:shd w:val="clear" w:color="000000" w:fill="FFFFFF"/>
            <w:vAlign w:val="center"/>
            <w:hideMark/>
          </w:tcPr>
          <w:p w14:paraId="4BE88281"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0.0</w:t>
            </w:r>
          </w:p>
        </w:tc>
        <w:tc>
          <w:tcPr>
            <w:tcW w:w="1170" w:type="dxa"/>
            <w:tcBorders>
              <w:top w:val="nil"/>
              <w:left w:val="nil"/>
              <w:bottom w:val="single" w:sz="8" w:space="0" w:color="auto"/>
              <w:right w:val="dotted" w:sz="4" w:space="0" w:color="auto"/>
            </w:tcBorders>
            <w:shd w:val="clear" w:color="000000" w:fill="FFFFFF"/>
            <w:noWrap/>
            <w:vAlign w:val="center"/>
            <w:hideMark/>
          </w:tcPr>
          <w:p w14:paraId="31E3694E"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6.7</w:t>
            </w:r>
          </w:p>
        </w:tc>
        <w:tc>
          <w:tcPr>
            <w:tcW w:w="1170" w:type="dxa"/>
            <w:tcBorders>
              <w:top w:val="nil"/>
              <w:left w:val="nil"/>
              <w:bottom w:val="single" w:sz="8" w:space="0" w:color="auto"/>
              <w:right w:val="single" w:sz="8" w:space="0" w:color="auto"/>
            </w:tcBorders>
            <w:shd w:val="clear" w:color="000000" w:fill="FFFFFF"/>
            <w:vAlign w:val="center"/>
            <w:hideMark/>
          </w:tcPr>
          <w:p w14:paraId="7C4B9206"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0.1</w:t>
            </w:r>
          </w:p>
        </w:tc>
        <w:tc>
          <w:tcPr>
            <w:tcW w:w="990" w:type="dxa"/>
            <w:tcBorders>
              <w:top w:val="nil"/>
              <w:left w:val="nil"/>
              <w:bottom w:val="single" w:sz="8" w:space="0" w:color="auto"/>
              <w:right w:val="dotted" w:sz="4" w:space="0" w:color="auto"/>
            </w:tcBorders>
            <w:shd w:val="clear" w:color="000000" w:fill="FFFFFF"/>
            <w:vAlign w:val="center"/>
            <w:hideMark/>
          </w:tcPr>
          <w:p w14:paraId="7A2DF553"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66.1</w:t>
            </w:r>
          </w:p>
        </w:tc>
        <w:tc>
          <w:tcPr>
            <w:tcW w:w="1260" w:type="dxa"/>
            <w:tcBorders>
              <w:top w:val="nil"/>
              <w:left w:val="nil"/>
              <w:bottom w:val="single" w:sz="8" w:space="0" w:color="auto"/>
              <w:right w:val="single" w:sz="8" w:space="0" w:color="auto"/>
            </w:tcBorders>
            <w:shd w:val="clear" w:color="000000" w:fill="FFFFFF"/>
            <w:vAlign w:val="center"/>
            <w:hideMark/>
          </w:tcPr>
          <w:p w14:paraId="502968D0"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0.3</w:t>
            </w:r>
          </w:p>
        </w:tc>
      </w:tr>
      <w:tr w:rsidR="008B4D33" w14:paraId="05E26F3A" w14:textId="77777777" w:rsidTr="0056032F">
        <w:trPr>
          <w:trHeight w:val="315"/>
        </w:trPr>
        <w:tc>
          <w:tcPr>
            <w:tcW w:w="1272" w:type="dxa"/>
            <w:vMerge/>
            <w:tcBorders>
              <w:top w:val="nil"/>
              <w:left w:val="single" w:sz="8" w:space="0" w:color="auto"/>
              <w:bottom w:val="single" w:sz="8" w:space="0" w:color="000000"/>
              <w:right w:val="single" w:sz="8" w:space="0" w:color="auto"/>
            </w:tcBorders>
            <w:vAlign w:val="center"/>
            <w:hideMark/>
          </w:tcPr>
          <w:p w14:paraId="1D9B74A9" w14:textId="77777777" w:rsidR="008B4D33" w:rsidRDefault="008B4D33">
            <w:pPr>
              <w:rPr>
                <w:rFonts w:ascii="Calibri" w:hAnsi="Calibri" w:cs="Calibri"/>
                <w:color w:val="000000"/>
                <w:sz w:val="22"/>
                <w:szCs w:val="22"/>
              </w:rPr>
            </w:pPr>
          </w:p>
        </w:tc>
        <w:tc>
          <w:tcPr>
            <w:tcW w:w="1661" w:type="dxa"/>
            <w:tcBorders>
              <w:top w:val="nil"/>
              <w:left w:val="nil"/>
              <w:bottom w:val="nil"/>
              <w:right w:val="single" w:sz="8" w:space="0" w:color="auto"/>
            </w:tcBorders>
            <w:shd w:val="clear" w:color="000000" w:fill="FFFFFF"/>
            <w:vAlign w:val="center"/>
            <w:hideMark/>
          </w:tcPr>
          <w:p w14:paraId="6FD73D26"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Dry Oak Forest</w:t>
            </w:r>
          </w:p>
        </w:tc>
        <w:tc>
          <w:tcPr>
            <w:tcW w:w="1365" w:type="dxa"/>
            <w:tcBorders>
              <w:top w:val="nil"/>
              <w:left w:val="nil"/>
              <w:bottom w:val="single" w:sz="8" w:space="0" w:color="auto"/>
              <w:right w:val="dotted" w:sz="4" w:space="0" w:color="auto"/>
            </w:tcBorders>
            <w:shd w:val="clear" w:color="000000" w:fill="FFFFFF"/>
            <w:noWrap/>
            <w:vAlign w:val="center"/>
            <w:hideMark/>
          </w:tcPr>
          <w:p w14:paraId="2F51DF21"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168.9</w:t>
            </w:r>
          </w:p>
        </w:tc>
        <w:tc>
          <w:tcPr>
            <w:tcW w:w="1356" w:type="dxa"/>
            <w:tcBorders>
              <w:top w:val="nil"/>
              <w:left w:val="nil"/>
              <w:bottom w:val="single" w:sz="8" w:space="0" w:color="auto"/>
              <w:right w:val="single" w:sz="8" w:space="0" w:color="auto"/>
            </w:tcBorders>
            <w:shd w:val="clear" w:color="000000" w:fill="FFFFFF"/>
            <w:vAlign w:val="center"/>
            <w:hideMark/>
          </w:tcPr>
          <w:p w14:paraId="72E9C66F"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2.1</w:t>
            </w:r>
          </w:p>
        </w:tc>
        <w:tc>
          <w:tcPr>
            <w:tcW w:w="1266" w:type="dxa"/>
            <w:tcBorders>
              <w:top w:val="nil"/>
              <w:left w:val="nil"/>
              <w:bottom w:val="single" w:sz="8" w:space="0" w:color="auto"/>
              <w:right w:val="dotted" w:sz="4" w:space="0" w:color="auto"/>
            </w:tcBorders>
            <w:shd w:val="clear" w:color="000000" w:fill="FFFFFF"/>
            <w:noWrap/>
            <w:vAlign w:val="center"/>
            <w:hideMark/>
          </w:tcPr>
          <w:p w14:paraId="0D6E7B2D"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17.1</w:t>
            </w:r>
          </w:p>
        </w:tc>
        <w:tc>
          <w:tcPr>
            <w:tcW w:w="1350" w:type="dxa"/>
            <w:tcBorders>
              <w:top w:val="nil"/>
              <w:left w:val="nil"/>
              <w:bottom w:val="single" w:sz="8" w:space="0" w:color="auto"/>
              <w:right w:val="single" w:sz="8" w:space="0" w:color="auto"/>
            </w:tcBorders>
            <w:shd w:val="clear" w:color="000000" w:fill="FFFFFF"/>
            <w:vAlign w:val="center"/>
            <w:hideMark/>
          </w:tcPr>
          <w:p w14:paraId="627821B9"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0.5</w:t>
            </w:r>
          </w:p>
        </w:tc>
        <w:tc>
          <w:tcPr>
            <w:tcW w:w="1170" w:type="dxa"/>
            <w:tcBorders>
              <w:top w:val="nil"/>
              <w:left w:val="nil"/>
              <w:bottom w:val="single" w:sz="8" w:space="0" w:color="auto"/>
              <w:right w:val="dotted" w:sz="4" w:space="0" w:color="auto"/>
            </w:tcBorders>
            <w:shd w:val="clear" w:color="000000" w:fill="FFFFFF"/>
            <w:noWrap/>
            <w:vAlign w:val="center"/>
            <w:hideMark/>
          </w:tcPr>
          <w:p w14:paraId="35B28EC6"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135.7</w:t>
            </w:r>
          </w:p>
        </w:tc>
        <w:tc>
          <w:tcPr>
            <w:tcW w:w="1170" w:type="dxa"/>
            <w:tcBorders>
              <w:top w:val="nil"/>
              <w:left w:val="nil"/>
              <w:bottom w:val="single" w:sz="8" w:space="0" w:color="auto"/>
              <w:right w:val="single" w:sz="8" w:space="0" w:color="auto"/>
            </w:tcBorders>
            <w:shd w:val="clear" w:color="000000" w:fill="FFFFFF"/>
            <w:vAlign w:val="center"/>
            <w:hideMark/>
          </w:tcPr>
          <w:p w14:paraId="1E1C103B"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1.3</w:t>
            </w:r>
          </w:p>
        </w:tc>
        <w:tc>
          <w:tcPr>
            <w:tcW w:w="990" w:type="dxa"/>
            <w:tcBorders>
              <w:top w:val="nil"/>
              <w:left w:val="nil"/>
              <w:bottom w:val="single" w:sz="8" w:space="0" w:color="auto"/>
              <w:right w:val="dotted" w:sz="4" w:space="0" w:color="auto"/>
            </w:tcBorders>
            <w:shd w:val="clear" w:color="000000" w:fill="FFFFFF"/>
            <w:vAlign w:val="center"/>
            <w:hideMark/>
          </w:tcPr>
          <w:p w14:paraId="35A77A28"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321.7</w:t>
            </w:r>
          </w:p>
        </w:tc>
        <w:tc>
          <w:tcPr>
            <w:tcW w:w="1260" w:type="dxa"/>
            <w:tcBorders>
              <w:top w:val="nil"/>
              <w:left w:val="nil"/>
              <w:bottom w:val="single" w:sz="8" w:space="0" w:color="auto"/>
              <w:right w:val="single" w:sz="8" w:space="0" w:color="auto"/>
            </w:tcBorders>
            <w:shd w:val="clear" w:color="000000" w:fill="FFFFFF"/>
            <w:vAlign w:val="center"/>
            <w:hideMark/>
          </w:tcPr>
          <w:p w14:paraId="75061862"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1.5</w:t>
            </w:r>
          </w:p>
        </w:tc>
      </w:tr>
      <w:tr w:rsidR="008B4D33" w14:paraId="0A4B217E" w14:textId="77777777" w:rsidTr="0056032F">
        <w:trPr>
          <w:trHeight w:val="315"/>
        </w:trPr>
        <w:tc>
          <w:tcPr>
            <w:tcW w:w="1272" w:type="dxa"/>
            <w:vMerge/>
            <w:tcBorders>
              <w:top w:val="nil"/>
              <w:left w:val="single" w:sz="8" w:space="0" w:color="auto"/>
              <w:bottom w:val="single" w:sz="8" w:space="0" w:color="000000"/>
              <w:right w:val="single" w:sz="8" w:space="0" w:color="auto"/>
            </w:tcBorders>
            <w:vAlign w:val="center"/>
            <w:hideMark/>
          </w:tcPr>
          <w:p w14:paraId="5AD1AEDA" w14:textId="77777777" w:rsidR="008B4D33" w:rsidRDefault="008B4D33">
            <w:pPr>
              <w:rPr>
                <w:rFonts w:ascii="Calibri" w:hAnsi="Calibri" w:cs="Calibri"/>
                <w:color w:val="000000"/>
                <w:sz w:val="22"/>
                <w:szCs w:val="22"/>
              </w:rPr>
            </w:pPr>
          </w:p>
        </w:tc>
        <w:tc>
          <w:tcPr>
            <w:tcW w:w="1661" w:type="dxa"/>
            <w:tcBorders>
              <w:top w:val="nil"/>
              <w:left w:val="nil"/>
              <w:bottom w:val="nil"/>
              <w:right w:val="single" w:sz="8" w:space="0" w:color="auto"/>
            </w:tcBorders>
            <w:shd w:val="clear" w:color="000000" w:fill="FFFFFF"/>
            <w:vAlign w:val="center"/>
            <w:hideMark/>
          </w:tcPr>
          <w:p w14:paraId="392DD689"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Maple Basswood</w:t>
            </w:r>
          </w:p>
        </w:tc>
        <w:tc>
          <w:tcPr>
            <w:tcW w:w="1365" w:type="dxa"/>
            <w:tcBorders>
              <w:top w:val="nil"/>
              <w:left w:val="nil"/>
              <w:bottom w:val="single" w:sz="8" w:space="0" w:color="auto"/>
              <w:right w:val="dotted" w:sz="4" w:space="0" w:color="auto"/>
            </w:tcBorders>
            <w:shd w:val="clear" w:color="000000" w:fill="FFFFFF"/>
            <w:noWrap/>
            <w:vAlign w:val="center"/>
            <w:hideMark/>
          </w:tcPr>
          <w:p w14:paraId="2E8C0A7B"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1054.1</w:t>
            </w:r>
          </w:p>
        </w:tc>
        <w:tc>
          <w:tcPr>
            <w:tcW w:w="1356" w:type="dxa"/>
            <w:tcBorders>
              <w:top w:val="nil"/>
              <w:left w:val="nil"/>
              <w:bottom w:val="single" w:sz="8" w:space="0" w:color="auto"/>
              <w:right w:val="single" w:sz="8" w:space="0" w:color="auto"/>
            </w:tcBorders>
            <w:shd w:val="clear" w:color="000000" w:fill="FFFFFF"/>
            <w:vAlign w:val="center"/>
            <w:hideMark/>
          </w:tcPr>
          <w:p w14:paraId="4D7AD9D0"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13.1</w:t>
            </w:r>
          </w:p>
        </w:tc>
        <w:tc>
          <w:tcPr>
            <w:tcW w:w="1266" w:type="dxa"/>
            <w:tcBorders>
              <w:top w:val="nil"/>
              <w:left w:val="nil"/>
              <w:bottom w:val="single" w:sz="8" w:space="0" w:color="auto"/>
              <w:right w:val="dotted" w:sz="4" w:space="0" w:color="auto"/>
            </w:tcBorders>
            <w:shd w:val="clear" w:color="000000" w:fill="FFFFFF"/>
            <w:noWrap/>
            <w:vAlign w:val="center"/>
            <w:hideMark/>
          </w:tcPr>
          <w:p w14:paraId="7D02E530"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91.3</w:t>
            </w:r>
          </w:p>
        </w:tc>
        <w:tc>
          <w:tcPr>
            <w:tcW w:w="1350" w:type="dxa"/>
            <w:tcBorders>
              <w:top w:val="nil"/>
              <w:left w:val="nil"/>
              <w:bottom w:val="single" w:sz="8" w:space="0" w:color="auto"/>
              <w:right w:val="single" w:sz="8" w:space="0" w:color="auto"/>
            </w:tcBorders>
            <w:shd w:val="clear" w:color="000000" w:fill="FFFFFF"/>
            <w:vAlign w:val="center"/>
            <w:hideMark/>
          </w:tcPr>
          <w:p w14:paraId="731F6077"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2.7</w:t>
            </w:r>
          </w:p>
        </w:tc>
        <w:tc>
          <w:tcPr>
            <w:tcW w:w="1170" w:type="dxa"/>
            <w:tcBorders>
              <w:top w:val="nil"/>
              <w:left w:val="nil"/>
              <w:bottom w:val="single" w:sz="8" w:space="0" w:color="auto"/>
              <w:right w:val="dotted" w:sz="4" w:space="0" w:color="auto"/>
            </w:tcBorders>
            <w:shd w:val="clear" w:color="000000" w:fill="FFFFFF"/>
            <w:noWrap/>
            <w:vAlign w:val="center"/>
            <w:hideMark/>
          </w:tcPr>
          <w:p w14:paraId="15C4A327"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456.4</w:t>
            </w:r>
          </w:p>
        </w:tc>
        <w:tc>
          <w:tcPr>
            <w:tcW w:w="1170" w:type="dxa"/>
            <w:tcBorders>
              <w:top w:val="nil"/>
              <w:left w:val="nil"/>
              <w:bottom w:val="single" w:sz="8" w:space="0" w:color="auto"/>
              <w:right w:val="single" w:sz="8" w:space="0" w:color="auto"/>
            </w:tcBorders>
            <w:shd w:val="clear" w:color="000000" w:fill="FFFFFF"/>
            <w:vAlign w:val="center"/>
            <w:hideMark/>
          </w:tcPr>
          <w:p w14:paraId="33B3D4A1"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4.4</w:t>
            </w:r>
          </w:p>
        </w:tc>
        <w:tc>
          <w:tcPr>
            <w:tcW w:w="990" w:type="dxa"/>
            <w:tcBorders>
              <w:top w:val="nil"/>
              <w:left w:val="nil"/>
              <w:bottom w:val="single" w:sz="8" w:space="0" w:color="auto"/>
              <w:right w:val="dotted" w:sz="4" w:space="0" w:color="auto"/>
            </w:tcBorders>
            <w:shd w:val="clear" w:color="000000" w:fill="FFFFFF"/>
            <w:vAlign w:val="center"/>
            <w:hideMark/>
          </w:tcPr>
          <w:p w14:paraId="14F0E694"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1601.8</w:t>
            </w:r>
          </w:p>
        </w:tc>
        <w:tc>
          <w:tcPr>
            <w:tcW w:w="1260" w:type="dxa"/>
            <w:tcBorders>
              <w:top w:val="nil"/>
              <w:left w:val="nil"/>
              <w:bottom w:val="single" w:sz="8" w:space="0" w:color="auto"/>
              <w:right w:val="single" w:sz="8" w:space="0" w:color="auto"/>
            </w:tcBorders>
            <w:shd w:val="clear" w:color="000000" w:fill="FFFFFF"/>
            <w:vAlign w:val="center"/>
            <w:hideMark/>
          </w:tcPr>
          <w:p w14:paraId="78CA772E"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7.4</w:t>
            </w:r>
          </w:p>
        </w:tc>
      </w:tr>
      <w:tr w:rsidR="008B4D33" w14:paraId="1950E56F" w14:textId="77777777" w:rsidTr="0056032F">
        <w:trPr>
          <w:trHeight w:val="315"/>
        </w:trPr>
        <w:tc>
          <w:tcPr>
            <w:tcW w:w="1272" w:type="dxa"/>
            <w:vMerge/>
            <w:tcBorders>
              <w:top w:val="nil"/>
              <w:left w:val="single" w:sz="8" w:space="0" w:color="auto"/>
              <w:bottom w:val="single" w:sz="8" w:space="0" w:color="000000"/>
              <w:right w:val="single" w:sz="8" w:space="0" w:color="auto"/>
            </w:tcBorders>
            <w:vAlign w:val="center"/>
            <w:hideMark/>
          </w:tcPr>
          <w:p w14:paraId="7F5082F6" w14:textId="77777777" w:rsidR="008B4D33" w:rsidRDefault="008B4D33">
            <w:pPr>
              <w:rPr>
                <w:rFonts w:ascii="Calibri" w:hAnsi="Calibri" w:cs="Calibri"/>
                <w:color w:val="000000"/>
                <w:sz w:val="22"/>
                <w:szCs w:val="22"/>
              </w:rPr>
            </w:pPr>
          </w:p>
        </w:tc>
        <w:tc>
          <w:tcPr>
            <w:tcW w:w="1661" w:type="dxa"/>
            <w:tcBorders>
              <w:top w:val="nil"/>
              <w:left w:val="nil"/>
              <w:bottom w:val="nil"/>
              <w:right w:val="single" w:sz="8" w:space="0" w:color="auto"/>
            </w:tcBorders>
            <w:shd w:val="clear" w:color="000000" w:fill="FFFFFF"/>
            <w:vAlign w:val="center"/>
            <w:hideMark/>
          </w:tcPr>
          <w:p w14:paraId="4EBD0D4E"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Northern Hardwoods</w:t>
            </w:r>
          </w:p>
        </w:tc>
        <w:tc>
          <w:tcPr>
            <w:tcW w:w="1365" w:type="dxa"/>
            <w:tcBorders>
              <w:top w:val="nil"/>
              <w:left w:val="nil"/>
              <w:bottom w:val="single" w:sz="8" w:space="0" w:color="auto"/>
              <w:right w:val="dotted" w:sz="4" w:space="0" w:color="auto"/>
            </w:tcBorders>
            <w:shd w:val="clear" w:color="000000" w:fill="FFFFFF"/>
            <w:noWrap/>
            <w:vAlign w:val="center"/>
            <w:hideMark/>
          </w:tcPr>
          <w:p w14:paraId="45B43F94"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0.1</w:t>
            </w:r>
          </w:p>
        </w:tc>
        <w:tc>
          <w:tcPr>
            <w:tcW w:w="1356" w:type="dxa"/>
            <w:tcBorders>
              <w:top w:val="nil"/>
              <w:left w:val="nil"/>
              <w:bottom w:val="single" w:sz="8" w:space="0" w:color="auto"/>
              <w:right w:val="single" w:sz="8" w:space="0" w:color="auto"/>
            </w:tcBorders>
            <w:shd w:val="clear" w:color="000000" w:fill="FFFFFF"/>
            <w:vAlign w:val="center"/>
            <w:hideMark/>
          </w:tcPr>
          <w:p w14:paraId="2EF7ED3A"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0.0</w:t>
            </w:r>
          </w:p>
        </w:tc>
        <w:tc>
          <w:tcPr>
            <w:tcW w:w="1266" w:type="dxa"/>
            <w:tcBorders>
              <w:top w:val="nil"/>
              <w:left w:val="nil"/>
              <w:bottom w:val="single" w:sz="8" w:space="0" w:color="auto"/>
              <w:right w:val="dotted" w:sz="4" w:space="0" w:color="auto"/>
            </w:tcBorders>
            <w:shd w:val="clear" w:color="000000" w:fill="FFFFFF"/>
            <w:noWrap/>
            <w:vAlign w:val="center"/>
            <w:hideMark/>
          </w:tcPr>
          <w:p w14:paraId="7854A973"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0.0</w:t>
            </w:r>
          </w:p>
        </w:tc>
        <w:tc>
          <w:tcPr>
            <w:tcW w:w="1350" w:type="dxa"/>
            <w:tcBorders>
              <w:top w:val="nil"/>
              <w:left w:val="nil"/>
              <w:bottom w:val="single" w:sz="8" w:space="0" w:color="auto"/>
              <w:right w:val="single" w:sz="8" w:space="0" w:color="auto"/>
            </w:tcBorders>
            <w:shd w:val="clear" w:color="000000" w:fill="FFFFFF"/>
            <w:vAlign w:val="center"/>
            <w:hideMark/>
          </w:tcPr>
          <w:p w14:paraId="62F5A9BF"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0.0</w:t>
            </w:r>
          </w:p>
        </w:tc>
        <w:tc>
          <w:tcPr>
            <w:tcW w:w="1170" w:type="dxa"/>
            <w:tcBorders>
              <w:top w:val="nil"/>
              <w:left w:val="nil"/>
              <w:bottom w:val="single" w:sz="8" w:space="0" w:color="auto"/>
              <w:right w:val="dotted" w:sz="4" w:space="0" w:color="auto"/>
            </w:tcBorders>
            <w:shd w:val="clear" w:color="000000" w:fill="FFFFFF"/>
            <w:noWrap/>
            <w:vAlign w:val="center"/>
            <w:hideMark/>
          </w:tcPr>
          <w:p w14:paraId="057DDFBA"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0.0</w:t>
            </w:r>
          </w:p>
        </w:tc>
        <w:tc>
          <w:tcPr>
            <w:tcW w:w="1170" w:type="dxa"/>
            <w:tcBorders>
              <w:top w:val="nil"/>
              <w:left w:val="nil"/>
              <w:bottom w:val="single" w:sz="8" w:space="0" w:color="auto"/>
              <w:right w:val="single" w:sz="8" w:space="0" w:color="auto"/>
            </w:tcBorders>
            <w:shd w:val="clear" w:color="000000" w:fill="FFFFFF"/>
            <w:vAlign w:val="center"/>
            <w:hideMark/>
          </w:tcPr>
          <w:p w14:paraId="48FCA628"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0.0</w:t>
            </w:r>
          </w:p>
        </w:tc>
        <w:tc>
          <w:tcPr>
            <w:tcW w:w="990" w:type="dxa"/>
            <w:tcBorders>
              <w:top w:val="nil"/>
              <w:left w:val="nil"/>
              <w:bottom w:val="single" w:sz="8" w:space="0" w:color="auto"/>
              <w:right w:val="dotted" w:sz="4" w:space="0" w:color="auto"/>
            </w:tcBorders>
            <w:shd w:val="clear" w:color="000000" w:fill="FFFFFF"/>
            <w:vAlign w:val="center"/>
            <w:hideMark/>
          </w:tcPr>
          <w:p w14:paraId="1F7F203A"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0.1</w:t>
            </w:r>
          </w:p>
        </w:tc>
        <w:tc>
          <w:tcPr>
            <w:tcW w:w="1260" w:type="dxa"/>
            <w:tcBorders>
              <w:top w:val="nil"/>
              <w:left w:val="nil"/>
              <w:bottom w:val="single" w:sz="8" w:space="0" w:color="auto"/>
              <w:right w:val="single" w:sz="8" w:space="0" w:color="auto"/>
            </w:tcBorders>
            <w:shd w:val="clear" w:color="000000" w:fill="FFFFFF"/>
            <w:vAlign w:val="center"/>
            <w:hideMark/>
          </w:tcPr>
          <w:p w14:paraId="6B0426C9"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0.0</w:t>
            </w:r>
          </w:p>
        </w:tc>
      </w:tr>
      <w:tr w:rsidR="008B4D33" w14:paraId="2FC717C0" w14:textId="77777777" w:rsidTr="0056032F">
        <w:trPr>
          <w:trHeight w:val="315"/>
        </w:trPr>
        <w:tc>
          <w:tcPr>
            <w:tcW w:w="1272" w:type="dxa"/>
            <w:vMerge/>
            <w:tcBorders>
              <w:top w:val="nil"/>
              <w:left w:val="single" w:sz="8" w:space="0" w:color="auto"/>
              <w:bottom w:val="single" w:sz="8" w:space="0" w:color="000000"/>
              <w:right w:val="single" w:sz="8" w:space="0" w:color="auto"/>
            </w:tcBorders>
            <w:vAlign w:val="center"/>
            <w:hideMark/>
          </w:tcPr>
          <w:p w14:paraId="4F7E82E7" w14:textId="77777777" w:rsidR="008B4D33" w:rsidRDefault="008B4D33">
            <w:pPr>
              <w:rPr>
                <w:rFonts w:ascii="Calibri" w:hAnsi="Calibri" w:cs="Calibri"/>
                <w:color w:val="000000"/>
                <w:sz w:val="22"/>
                <w:szCs w:val="22"/>
              </w:rPr>
            </w:pPr>
          </w:p>
        </w:tc>
        <w:tc>
          <w:tcPr>
            <w:tcW w:w="1661" w:type="dxa"/>
            <w:tcBorders>
              <w:top w:val="nil"/>
              <w:left w:val="nil"/>
              <w:bottom w:val="nil"/>
              <w:right w:val="single" w:sz="8" w:space="0" w:color="auto"/>
            </w:tcBorders>
            <w:shd w:val="clear" w:color="000000" w:fill="FFFFFF"/>
            <w:vAlign w:val="center"/>
            <w:hideMark/>
          </w:tcPr>
          <w:p w14:paraId="4370BEDF"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Northern Pine-Oak</w:t>
            </w:r>
          </w:p>
        </w:tc>
        <w:tc>
          <w:tcPr>
            <w:tcW w:w="1365" w:type="dxa"/>
            <w:tcBorders>
              <w:top w:val="nil"/>
              <w:left w:val="nil"/>
              <w:bottom w:val="single" w:sz="8" w:space="0" w:color="auto"/>
              <w:right w:val="dotted" w:sz="4" w:space="0" w:color="auto"/>
            </w:tcBorders>
            <w:shd w:val="clear" w:color="000000" w:fill="FFFFFF"/>
            <w:noWrap/>
            <w:vAlign w:val="center"/>
            <w:hideMark/>
          </w:tcPr>
          <w:p w14:paraId="57573A84"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0.4</w:t>
            </w:r>
          </w:p>
        </w:tc>
        <w:tc>
          <w:tcPr>
            <w:tcW w:w="1356" w:type="dxa"/>
            <w:tcBorders>
              <w:top w:val="nil"/>
              <w:left w:val="nil"/>
              <w:bottom w:val="single" w:sz="8" w:space="0" w:color="auto"/>
              <w:right w:val="single" w:sz="8" w:space="0" w:color="auto"/>
            </w:tcBorders>
            <w:shd w:val="clear" w:color="000000" w:fill="FFFFFF"/>
            <w:vAlign w:val="center"/>
            <w:hideMark/>
          </w:tcPr>
          <w:p w14:paraId="486CBB0F"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0.0</w:t>
            </w:r>
          </w:p>
        </w:tc>
        <w:tc>
          <w:tcPr>
            <w:tcW w:w="1266" w:type="dxa"/>
            <w:tcBorders>
              <w:top w:val="nil"/>
              <w:left w:val="nil"/>
              <w:bottom w:val="single" w:sz="8" w:space="0" w:color="auto"/>
              <w:right w:val="dotted" w:sz="4" w:space="0" w:color="auto"/>
            </w:tcBorders>
            <w:shd w:val="clear" w:color="000000" w:fill="FFFFFF"/>
            <w:noWrap/>
            <w:vAlign w:val="center"/>
            <w:hideMark/>
          </w:tcPr>
          <w:p w14:paraId="0E5117E0"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0.0</w:t>
            </w:r>
          </w:p>
        </w:tc>
        <w:tc>
          <w:tcPr>
            <w:tcW w:w="1350" w:type="dxa"/>
            <w:tcBorders>
              <w:top w:val="nil"/>
              <w:left w:val="nil"/>
              <w:bottom w:val="single" w:sz="8" w:space="0" w:color="auto"/>
              <w:right w:val="single" w:sz="8" w:space="0" w:color="auto"/>
            </w:tcBorders>
            <w:shd w:val="clear" w:color="000000" w:fill="FFFFFF"/>
            <w:vAlign w:val="center"/>
            <w:hideMark/>
          </w:tcPr>
          <w:p w14:paraId="580DB5A7"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0.0</w:t>
            </w:r>
          </w:p>
        </w:tc>
        <w:tc>
          <w:tcPr>
            <w:tcW w:w="1170" w:type="dxa"/>
            <w:tcBorders>
              <w:top w:val="nil"/>
              <w:left w:val="nil"/>
              <w:bottom w:val="single" w:sz="8" w:space="0" w:color="auto"/>
              <w:right w:val="dotted" w:sz="4" w:space="0" w:color="auto"/>
            </w:tcBorders>
            <w:shd w:val="clear" w:color="000000" w:fill="FFFFFF"/>
            <w:noWrap/>
            <w:vAlign w:val="center"/>
            <w:hideMark/>
          </w:tcPr>
          <w:p w14:paraId="20FEBA3C"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1.4</w:t>
            </w:r>
          </w:p>
        </w:tc>
        <w:tc>
          <w:tcPr>
            <w:tcW w:w="1170" w:type="dxa"/>
            <w:tcBorders>
              <w:top w:val="nil"/>
              <w:left w:val="nil"/>
              <w:bottom w:val="single" w:sz="8" w:space="0" w:color="auto"/>
              <w:right w:val="single" w:sz="8" w:space="0" w:color="auto"/>
            </w:tcBorders>
            <w:shd w:val="clear" w:color="000000" w:fill="FFFFFF"/>
            <w:vAlign w:val="center"/>
            <w:hideMark/>
          </w:tcPr>
          <w:p w14:paraId="673B5F38"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0.0</w:t>
            </w:r>
          </w:p>
        </w:tc>
        <w:tc>
          <w:tcPr>
            <w:tcW w:w="990" w:type="dxa"/>
            <w:tcBorders>
              <w:top w:val="nil"/>
              <w:left w:val="nil"/>
              <w:bottom w:val="single" w:sz="8" w:space="0" w:color="auto"/>
              <w:right w:val="dotted" w:sz="4" w:space="0" w:color="auto"/>
            </w:tcBorders>
            <w:shd w:val="clear" w:color="000000" w:fill="FFFFFF"/>
            <w:vAlign w:val="center"/>
            <w:hideMark/>
          </w:tcPr>
          <w:p w14:paraId="6BC0D5DC"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1.8</w:t>
            </w:r>
          </w:p>
        </w:tc>
        <w:tc>
          <w:tcPr>
            <w:tcW w:w="1260" w:type="dxa"/>
            <w:tcBorders>
              <w:top w:val="nil"/>
              <w:left w:val="nil"/>
              <w:bottom w:val="single" w:sz="8" w:space="0" w:color="auto"/>
              <w:right w:val="single" w:sz="8" w:space="0" w:color="auto"/>
            </w:tcBorders>
            <w:shd w:val="clear" w:color="000000" w:fill="FFFFFF"/>
            <w:vAlign w:val="center"/>
            <w:hideMark/>
          </w:tcPr>
          <w:p w14:paraId="5FD9560D"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0.0</w:t>
            </w:r>
          </w:p>
        </w:tc>
      </w:tr>
      <w:tr w:rsidR="008B4D33" w14:paraId="47E7B228" w14:textId="77777777" w:rsidTr="0056032F">
        <w:trPr>
          <w:trHeight w:val="315"/>
        </w:trPr>
        <w:tc>
          <w:tcPr>
            <w:tcW w:w="1272" w:type="dxa"/>
            <w:vMerge/>
            <w:tcBorders>
              <w:top w:val="nil"/>
              <w:left w:val="single" w:sz="8" w:space="0" w:color="auto"/>
              <w:bottom w:val="single" w:sz="8" w:space="0" w:color="000000"/>
              <w:right w:val="single" w:sz="8" w:space="0" w:color="auto"/>
            </w:tcBorders>
            <w:vAlign w:val="center"/>
            <w:hideMark/>
          </w:tcPr>
          <w:p w14:paraId="03E6F13A" w14:textId="77777777" w:rsidR="008B4D33" w:rsidRDefault="008B4D33">
            <w:pPr>
              <w:rPr>
                <w:rFonts w:ascii="Calibri" w:hAnsi="Calibri" w:cs="Calibri"/>
                <w:color w:val="000000"/>
                <w:sz w:val="22"/>
                <w:szCs w:val="22"/>
              </w:rPr>
            </w:pPr>
          </w:p>
        </w:tc>
        <w:tc>
          <w:tcPr>
            <w:tcW w:w="1661" w:type="dxa"/>
            <w:tcBorders>
              <w:top w:val="nil"/>
              <w:left w:val="nil"/>
              <w:bottom w:val="nil"/>
              <w:right w:val="single" w:sz="8" w:space="0" w:color="auto"/>
            </w:tcBorders>
            <w:shd w:val="clear" w:color="000000" w:fill="FFFFFF"/>
            <w:vAlign w:val="center"/>
            <w:hideMark/>
          </w:tcPr>
          <w:p w14:paraId="4DC0F4B1"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Pine</w:t>
            </w:r>
          </w:p>
        </w:tc>
        <w:tc>
          <w:tcPr>
            <w:tcW w:w="1365" w:type="dxa"/>
            <w:tcBorders>
              <w:top w:val="nil"/>
              <w:left w:val="nil"/>
              <w:bottom w:val="single" w:sz="8" w:space="0" w:color="auto"/>
              <w:right w:val="dotted" w:sz="4" w:space="0" w:color="auto"/>
            </w:tcBorders>
            <w:shd w:val="clear" w:color="000000" w:fill="FFFFFF"/>
            <w:noWrap/>
            <w:vAlign w:val="center"/>
            <w:hideMark/>
          </w:tcPr>
          <w:p w14:paraId="7E781419"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0.0</w:t>
            </w:r>
          </w:p>
        </w:tc>
        <w:tc>
          <w:tcPr>
            <w:tcW w:w="1356" w:type="dxa"/>
            <w:tcBorders>
              <w:top w:val="nil"/>
              <w:left w:val="nil"/>
              <w:bottom w:val="single" w:sz="8" w:space="0" w:color="auto"/>
              <w:right w:val="single" w:sz="8" w:space="0" w:color="auto"/>
            </w:tcBorders>
            <w:shd w:val="clear" w:color="000000" w:fill="FFFFFF"/>
            <w:vAlign w:val="center"/>
            <w:hideMark/>
          </w:tcPr>
          <w:p w14:paraId="5FA7EF34"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0.0</w:t>
            </w:r>
          </w:p>
        </w:tc>
        <w:tc>
          <w:tcPr>
            <w:tcW w:w="1266" w:type="dxa"/>
            <w:tcBorders>
              <w:top w:val="nil"/>
              <w:left w:val="nil"/>
              <w:bottom w:val="single" w:sz="8" w:space="0" w:color="auto"/>
              <w:right w:val="dotted" w:sz="4" w:space="0" w:color="auto"/>
            </w:tcBorders>
            <w:shd w:val="clear" w:color="000000" w:fill="FFFFFF"/>
            <w:noWrap/>
            <w:vAlign w:val="center"/>
            <w:hideMark/>
          </w:tcPr>
          <w:p w14:paraId="48907BED"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0.0</w:t>
            </w:r>
          </w:p>
        </w:tc>
        <w:tc>
          <w:tcPr>
            <w:tcW w:w="1350" w:type="dxa"/>
            <w:tcBorders>
              <w:top w:val="nil"/>
              <w:left w:val="nil"/>
              <w:bottom w:val="single" w:sz="8" w:space="0" w:color="auto"/>
              <w:right w:val="single" w:sz="8" w:space="0" w:color="auto"/>
            </w:tcBorders>
            <w:shd w:val="clear" w:color="000000" w:fill="FFFFFF"/>
            <w:vAlign w:val="center"/>
            <w:hideMark/>
          </w:tcPr>
          <w:p w14:paraId="69EF0B5C"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0.0</w:t>
            </w:r>
          </w:p>
        </w:tc>
        <w:tc>
          <w:tcPr>
            <w:tcW w:w="1170" w:type="dxa"/>
            <w:tcBorders>
              <w:top w:val="nil"/>
              <w:left w:val="nil"/>
              <w:bottom w:val="single" w:sz="8" w:space="0" w:color="auto"/>
              <w:right w:val="dotted" w:sz="4" w:space="0" w:color="auto"/>
            </w:tcBorders>
            <w:shd w:val="clear" w:color="000000" w:fill="FFFFFF"/>
            <w:noWrap/>
            <w:vAlign w:val="center"/>
            <w:hideMark/>
          </w:tcPr>
          <w:p w14:paraId="1293C794"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0.0</w:t>
            </w:r>
          </w:p>
        </w:tc>
        <w:tc>
          <w:tcPr>
            <w:tcW w:w="1170" w:type="dxa"/>
            <w:tcBorders>
              <w:top w:val="nil"/>
              <w:left w:val="nil"/>
              <w:bottom w:val="single" w:sz="8" w:space="0" w:color="auto"/>
              <w:right w:val="single" w:sz="8" w:space="0" w:color="auto"/>
            </w:tcBorders>
            <w:shd w:val="clear" w:color="000000" w:fill="FFFFFF"/>
            <w:vAlign w:val="center"/>
            <w:hideMark/>
          </w:tcPr>
          <w:p w14:paraId="4A5C359B"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0.0</w:t>
            </w:r>
          </w:p>
        </w:tc>
        <w:tc>
          <w:tcPr>
            <w:tcW w:w="990" w:type="dxa"/>
            <w:tcBorders>
              <w:top w:val="nil"/>
              <w:left w:val="nil"/>
              <w:bottom w:val="single" w:sz="8" w:space="0" w:color="auto"/>
              <w:right w:val="dotted" w:sz="4" w:space="0" w:color="auto"/>
            </w:tcBorders>
            <w:shd w:val="clear" w:color="000000" w:fill="FFFFFF"/>
            <w:vAlign w:val="center"/>
            <w:hideMark/>
          </w:tcPr>
          <w:p w14:paraId="4E816807"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0.0</w:t>
            </w:r>
          </w:p>
        </w:tc>
        <w:tc>
          <w:tcPr>
            <w:tcW w:w="1260" w:type="dxa"/>
            <w:tcBorders>
              <w:top w:val="nil"/>
              <w:left w:val="nil"/>
              <w:bottom w:val="single" w:sz="8" w:space="0" w:color="auto"/>
              <w:right w:val="single" w:sz="8" w:space="0" w:color="auto"/>
            </w:tcBorders>
            <w:shd w:val="clear" w:color="000000" w:fill="FFFFFF"/>
            <w:vAlign w:val="center"/>
            <w:hideMark/>
          </w:tcPr>
          <w:p w14:paraId="5580C3E3"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0.0</w:t>
            </w:r>
          </w:p>
        </w:tc>
      </w:tr>
      <w:tr w:rsidR="008B4D33" w14:paraId="02FA1A4E" w14:textId="77777777" w:rsidTr="0056032F">
        <w:trPr>
          <w:trHeight w:val="615"/>
        </w:trPr>
        <w:tc>
          <w:tcPr>
            <w:tcW w:w="1272" w:type="dxa"/>
            <w:tcBorders>
              <w:top w:val="nil"/>
              <w:left w:val="single" w:sz="8" w:space="0" w:color="auto"/>
              <w:bottom w:val="single" w:sz="8" w:space="0" w:color="auto"/>
              <w:right w:val="nil"/>
            </w:tcBorders>
            <w:shd w:val="clear" w:color="000000" w:fill="FFFFFF"/>
            <w:vAlign w:val="center"/>
            <w:hideMark/>
          </w:tcPr>
          <w:p w14:paraId="1EAA8871"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Golf Course</w:t>
            </w:r>
          </w:p>
        </w:tc>
        <w:tc>
          <w:tcPr>
            <w:tcW w:w="1661"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0F411DB6"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 </w:t>
            </w:r>
          </w:p>
        </w:tc>
        <w:tc>
          <w:tcPr>
            <w:tcW w:w="1365" w:type="dxa"/>
            <w:tcBorders>
              <w:top w:val="nil"/>
              <w:left w:val="nil"/>
              <w:bottom w:val="single" w:sz="8" w:space="0" w:color="auto"/>
              <w:right w:val="dotted" w:sz="4" w:space="0" w:color="auto"/>
            </w:tcBorders>
            <w:shd w:val="clear" w:color="000000" w:fill="FFFFFF"/>
            <w:noWrap/>
            <w:vAlign w:val="center"/>
            <w:hideMark/>
          </w:tcPr>
          <w:p w14:paraId="501D8D9B"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95.4</w:t>
            </w:r>
          </w:p>
        </w:tc>
        <w:tc>
          <w:tcPr>
            <w:tcW w:w="1356" w:type="dxa"/>
            <w:tcBorders>
              <w:top w:val="nil"/>
              <w:left w:val="nil"/>
              <w:bottom w:val="single" w:sz="8" w:space="0" w:color="auto"/>
              <w:right w:val="single" w:sz="8" w:space="0" w:color="auto"/>
            </w:tcBorders>
            <w:shd w:val="clear" w:color="000000" w:fill="FFFFFF"/>
            <w:vAlign w:val="center"/>
            <w:hideMark/>
          </w:tcPr>
          <w:p w14:paraId="18CE5FE2"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1.2</w:t>
            </w:r>
          </w:p>
        </w:tc>
        <w:tc>
          <w:tcPr>
            <w:tcW w:w="1266" w:type="dxa"/>
            <w:tcBorders>
              <w:top w:val="nil"/>
              <w:left w:val="nil"/>
              <w:bottom w:val="single" w:sz="8" w:space="0" w:color="auto"/>
              <w:right w:val="dotted" w:sz="4" w:space="0" w:color="auto"/>
            </w:tcBorders>
            <w:shd w:val="clear" w:color="000000" w:fill="FFFFFF"/>
            <w:noWrap/>
            <w:vAlign w:val="center"/>
            <w:hideMark/>
          </w:tcPr>
          <w:p w14:paraId="40411C25"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116.5</w:t>
            </w:r>
          </w:p>
        </w:tc>
        <w:tc>
          <w:tcPr>
            <w:tcW w:w="1350" w:type="dxa"/>
            <w:tcBorders>
              <w:top w:val="nil"/>
              <w:left w:val="nil"/>
              <w:bottom w:val="single" w:sz="8" w:space="0" w:color="auto"/>
              <w:right w:val="single" w:sz="8" w:space="0" w:color="auto"/>
            </w:tcBorders>
            <w:shd w:val="clear" w:color="000000" w:fill="FFFFFF"/>
            <w:vAlign w:val="center"/>
            <w:hideMark/>
          </w:tcPr>
          <w:p w14:paraId="1CE19661"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3.5</w:t>
            </w:r>
          </w:p>
        </w:tc>
        <w:tc>
          <w:tcPr>
            <w:tcW w:w="1170" w:type="dxa"/>
            <w:tcBorders>
              <w:top w:val="nil"/>
              <w:left w:val="nil"/>
              <w:bottom w:val="single" w:sz="8" w:space="0" w:color="auto"/>
              <w:right w:val="dotted" w:sz="4" w:space="0" w:color="auto"/>
            </w:tcBorders>
            <w:shd w:val="clear" w:color="000000" w:fill="FFFFFF"/>
            <w:noWrap/>
            <w:vAlign w:val="center"/>
            <w:hideMark/>
          </w:tcPr>
          <w:p w14:paraId="1552C009"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150.1</w:t>
            </w:r>
          </w:p>
        </w:tc>
        <w:tc>
          <w:tcPr>
            <w:tcW w:w="1170" w:type="dxa"/>
            <w:tcBorders>
              <w:top w:val="nil"/>
              <w:left w:val="nil"/>
              <w:bottom w:val="single" w:sz="8" w:space="0" w:color="auto"/>
              <w:right w:val="single" w:sz="8" w:space="0" w:color="auto"/>
            </w:tcBorders>
            <w:shd w:val="clear" w:color="000000" w:fill="FFFFFF"/>
            <w:vAlign w:val="center"/>
            <w:hideMark/>
          </w:tcPr>
          <w:p w14:paraId="229DE6F9"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1.5</w:t>
            </w:r>
          </w:p>
        </w:tc>
        <w:tc>
          <w:tcPr>
            <w:tcW w:w="990" w:type="dxa"/>
            <w:tcBorders>
              <w:top w:val="nil"/>
              <w:left w:val="nil"/>
              <w:bottom w:val="single" w:sz="8" w:space="0" w:color="auto"/>
              <w:right w:val="dotted" w:sz="4" w:space="0" w:color="auto"/>
            </w:tcBorders>
            <w:shd w:val="clear" w:color="000000" w:fill="FFFFFF"/>
            <w:vAlign w:val="center"/>
            <w:hideMark/>
          </w:tcPr>
          <w:p w14:paraId="1EB29FCC"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362.0</w:t>
            </w:r>
          </w:p>
        </w:tc>
        <w:tc>
          <w:tcPr>
            <w:tcW w:w="1260" w:type="dxa"/>
            <w:tcBorders>
              <w:top w:val="nil"/>
              <w:left w:val="nil"/>
              <w:bottom w:val="single" w:sz="8" w:space="0" w:color="auto"/>
              <w:right w:val="single" w:sz="8" w:space="0" w:color="auto"/>
            </w:tcBorders>
            <w:shd w:val="clear" w:color="000000" w:fill="FFFFFF"/>
            <w:vAlign w:val="center"/>
            <w:hideMark/>
          </w:tcPr>
          <w:p w14:paraId="45A91792"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1.7</w:t>
            </w:r>
          </w:p>
        </w:tc>
      </w:tr>
      <w:tr w:rsidR="008B4D33" w14:paraId="160BA8C8" w14:textId="77777777" w:rsidTr="0056032F">
        <w:trPr>
          <w:trHeight w:val="315"/>
        </w:trPr>
        <w:tc>
          <w:tcPr>
            <w:tcW w:w="1272"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4FCFC2C7"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Grassland</w:t>
            </w:r>
          </w:p>
        </w:tc>
        <w:tc>
          <w:tcPr>
            <w:tcW w:w="1661" w:type="dxa"/>
            <w:tcBorders>
              <w:top w:val="nil"/>
              <w:left w:val="nil"/>
              <w:bottom w:val="nil"/>
              <w:right w:val="single" w:sz="8" w:space="0" w:color="auto"/>
            </w:tcBorders>
            <w:shd w:val="clear" w:color="000000" w:fill="FFFFFF"/>
            <w:vAlign w:val="center"/>
            <w:hideMark/>
          </w:tcPr>
          <w:p w14:paraId="70703F15" w14:textId="77777777" w:rsidR="008B4D33" w:rsidRPr="00687645" w:rsidRDefault="008B4D33">
            <w:pPr>
              <w:jc w:val="center"/>
              <w:rPr>
                <w:rFonts w:ascii="Calibri" w:hAnsi="Calibri" w:cs="Calibri"/>
                <w:i/>
                <w:iCs/>
                <w:color w:val="000000"/>
                <w:sz w:val="22"/>
                <w:szCs w:val="22"/>
              </w:rPr>
            </w:pPr>
            <w:r w:rsidRPr="00687645">
              <w:rPr>
                <w:rFonts w:ascii="Calibri" w:hAnsi="Calibri" w:cs="Calibri"/>
                <w:i/>
                <w:iCs/>
                <w:color w:val="000000"/>
                <w:sz w:val="22"/>
                <w:szCs w:val="22"/>
              </w:rPr>
              <w:t>Total Grassland</w:t>
            </w:r>
          </w:p>
        </w:tc>
        <w:tc>
          <w:tcPr>
            <w:tcW w:w="1365" w:type="dxa"/>
            <w:tcBorders>
              <w:top w:val="nil"/>
              <w:left w:val="nil"/>
              <w:bottom w:val="single" w:sz="8" w:space="0" w:color="auto"/>
              <w:right w:val="dotted" w:sz="4" w:space="0" w:color="auto"/>
            </w:tcBorders>
            <w:shd w:val="clear" w:color="000000" w:fill="FFFFFF"/>
            <w:vAlign w:val="center"/>
            <w:hideMark/>
          </w:tcPr>
          <w:p w14:paraId="1D3103F7" w14:textId="77777777" w:rsidR="008B4D33" w:rsidRPr="00687645" w:rsidRDefault="008B4D33">
            <w:pPr>
              <w:jc w:val="center"/>
              <w:rPr>
                <w:rFonts w:ascii="Calibri" w:hAnsi="Calibri" w:cs="Calibri"/>
                <w:i/>
                <w:iCs/>
                <w:color w:val="000000"/>
                <w:sz w:val="22"/>
                <w:szCs w:val="22"/>
              </w:rPr>
            </w:pPr>
            <w:r w:rsidRPr="00687645">
              <w:rPr>
                <w:rFonts w:ascii="Calibri" w:hAnsi="Calibri" w:cs="Calibri"/>
                <w:i/>
                <w:iCs/>
                <w:color w:val="000000"/>
                <w:sz w:val="22"/>
                <w:szCs w:val="22"/>
              </w:rPr>
              <w:t>803.9</w:t>
            </w:r>
          </w:p>
        </w:tc>
        <w:tc>
          <w:tcPr>
            <w:tcW w:w="1356" w:type="dxa"/>
            <w:tcBorders>
              <w:top w:val="nil"/>
              <w:left w:val="nil"/>
              <w:bottom w:val="single" w:sz="8" w:space="0" w:color="auto"/>
              <w:right w:val="single" w:sz="8" w:space="0" w:color="auto"/>
            </w:tcBorders>
            <w:shd w:val="clear" w:color="000000" w:fill="FFFFFF"/>
            <w:vAlign w:val="center"/>
            <w:hideMark/>
          </w:tcPr>
          <w:p w14:paraId="7C71CD9A" w14:textId="77777777" w:rsidR="008B4D33" w:rsidRPr="00687645" w:rsidRDefault="008B4D33">
            <w:pPr>
              <w:jc w:val="center"/>
              <w:rPr>
                <w:rFonts w:ascii="Calibri" w:hAnsi="Calibri" w:cs="Calibri"/>
                <w:i/>
                <w:iCs/>
                <w:color w:val="000000"/>
                <w:sz w:val="22"/>
                <w:szCs w:val="22"/>
              </w:rPr>
            </w:pPr>
            <w:r w:rsidRPr="00687645">
              <w:rPr>
                <w:rFonts w:ascii="Calibri" w:hAnsi="Calibri" w:cs="Calibri"/>
                <w:i/>
                <w:iCs/>
                <w:color w:val="000000"/>
                <w:sz w:val="22"/>
                <w:szCs w:val="22"/>
              </w:rPr>
              <w:t>10.0</w:t>
            </w:r>
          </w:p>
        </w:tc>
        <w:tc>
          <w:tcPr>
            <w:tcW w:w="1266" w:type="dxa"/>
            <w:tcBorders>
              <w:top w:val="nil"/>
              <w:left w:val="nil"/>
              <w:bottom w:val="single" w:sz="8" w:space="0" w:color="auto"/>
              <w:right w:val="dotted" w:sz="4" w:space="0" w:color="auto"/>
            </w:tcBorders>
            <w:shd w:val="clear" w:color="000000" w:fill="FFFFFF"/>
            <w:vAlign w:val="center"/>
            <w:hideMark/>
          </w:tcPr>
          <w:p w14:paraId="34E999F6" w14:textId="77777777" w:rsidR="008B4D33" w:rsidRPr="00687645" w:rsidRDefault="008B4D33">
            <w:pPr>
              <w:jc w:val="center"/>
              <w:rPr>
                <w:rFonts w:ascii="Calibri" w:hAnsi="Calibri" w:cs="Calibri"/>
                <w:i/>
                <w:iCs/>
                <w:color w:val="000000"/>
                <w:sz w:val="22"/>
                <w:szCs w:val="22"/>
              </w:rPr>
            </w:pPr>
            <w:r w:rsidRPr="00687645">
              <w:rPr>
                <w:rFonts w:ascii="Calibri" w:hAnsi="Calibri" w:cs="Calibri"/>
                <w:i/>
                <w:iCs/>
                <w:color w:val="000000"/>
                <w:sz w:val="22"/>
                <w:szCs w:val="22"/>
              </w:rPr>
              <w:t>301.6</w:t>
            </w:r>
          </w:p>
        </w:tc>
        <w:tc>
          <w:tcPr>
            <w:tcW w:w="1350" w:type="dxa"/>
            <w:tcBorders>
              <w:top w:val="nil"/>
              <w:left w:val="nil"/>
              <w:bottom w:val="single" w:sz="8" w:space="0" w:color="auto"/>
              <w:right w:val="single" w:sz="8" w:space="0" w:color="auto"/>
            </w:tcBorders>
            <w:shd w:val="clear" w:color="000000" w:fill="FFFFFF"/>
            <w:vAlign w:val="center"/>
            <w:hideMark/>
          </w:tcPr>
          <w:p w14:paraId="00C44684" w14:textId="77777777" w:rsidR="008B4D33" w:rsidRPr="00687645" w:rsidRDefault="008B4D33">
            <w:pPr>
              <w:jc w:val="center"/>
              <w:rPr>
                <w:rFonts w:ascii="Calibri" w:hAnsi="Calibri" w:cs="Calibri"/>
                <w:i/>
                <w:iCs/>
                <w:color w:val="000000"/>
                <w:sz w:val="22"/>
                <w:szCs w:val="22"/>
              </w:rPr>
            </w:pPr>
            <w:r w:rsidRPr="00687645">
              <w:rPr>
                <w:rFonts w:ascii="Calibri" w:hAnsi="Calibri" w:cs="Calibri"/>
                <w:i/>
                <w:iCs/>
                <w:color w:val="000000"/>
                <w:sz w:val="22"/>
                <w:szCs w:val="22"/>
              </w:rPr>
              <w:t>9.1</w:t>
            </w:r>
          </w:p>
        </w:tc>
        <w:tc>
          <w:tcPr>
            <w:tcW w:w="1170" w:type="dxa"/>
            <w:tcBorders>
              <w:top w:val="nil"/>
              <w:left w:val="nil"/>
              <w:bottom w:val="single" w:sz="8" w:space="0" w:color="auto"/>
              <w:right w:val="dotted" w:sz="4" w:space="0" w:color="auto"/>
            </w:tcBorders>
            <w:shd w:val="clear" w:color="000000" w:fill="FFFFFF"/>
            <w:vAlign w:val="center"/>
            <w:hideMark/>
          </w:tcPr>
          <w:p w14:paraId="04D1E8C2" w14:textId="77777777" w:rsidR="008B4D33" w:rsidRPr="00687645" w:rsidRDefault="008B4D33">
            <w:pPr>
              <w:jc w:val="center"/>
              <w:rPr>
                <w:rFonts w:ascii="Calibri" w:hAnsi="Calibri" w:cs="Calibri"/>
                <w:i/>
                <w:iCs/>
                <w:color w:val="000000"/>
                <w:sz w:val="22"/>
                <w:szCs w:val="22"/>
              </w:rPr>
            </w:pPr>
            <w:r w:rsidRPr="00687645">
              <w:rPr>
                <w:rFonts w:ascii="Calibri" w:hAnsi="Calibri" w:cs="Calibri"/>
                <w:i/>
                <w:iCs/>
                <w:color w:val="000000"/>
                <w:sz w:val="22"/>
                <w:szCs w:val="22"/>
              </w:rPr>
              <w:t>919.9</w:t>
            </w:r>
          </w:p>
        </w:tc>
        <w:tc>
          <w:tcPr>
            <w:tcW w:w="1170" w:type="dxa"/>
            <w:tcBorders>
              <w:top w:val="nil"/>
              <w:left w:val="nil"/>
              <w:bottom w:val="single" w:sz="8" w:space="0" w:color="auto"/>
              <w:right w:val="single" w:sz="8" w:space="0" w:color="auto"/>
            </w:tcBorders>
            <w:shd w:val="clear" w:color="000000" w:fill="FFFFFF"/>
            <w:vAlign w:val="center"/>
            <w:hideMark/>
          </w:tcPr>
          <w:p w14:paraId="03DB13CD" w14:textId="77777777" w:rsidR="008B4D33" w:rsidRPr="00687645" w:rsidRDefault="008B4D33">
            <w:pPr>
              <w:jc w:val="center"/>
              <w:rPr>
                <w:rFonts w:ascii="Calibri" w:hAnsi="Calibri" w:cs="Calibri"/>
                <w:i/>
                <w:iCs/>
                <w:color w:val="000000"/>
                <w:sz w:val="22"/>
                <w:szCs w:val="22"/>
              </w:rPr>
            </w:pPr>
            <w:r w:rsidRPr="00687645">
              <w:rPr>
                <w:rFonts w:ascii="Calibri" w:hAnsi="Calibri" w:cs="Calibri"/>
                <w:i/>
                <w:iCs/>
                <w:color w:val="000000"/>
                <w:sz w:val="22"/>
                <w:szCs w:val="22"/>
              </w:rPr>
              <w:t>8.9</w:t>
            </w:r>
          </w:p>
        </w:tc>
        <w:tc>
          <w:tcPr>
            <w:tcW w:w="990" w:type="dxa"/>
            <w:tcBorders>
              <w:top w:val="nil"/>
              <w:left w:val="nil"/>
              <w:bottom w:val="single" w:sz="8" w:space="0" w:color="auto"/>
              <w:right w:val="dotted" w:sz="4" w:space="0" w:color="auto"/>
            </w:tcBorders>
            <w:shd w:val="clear" w:color="000000" w:fill="FFFFFF"/>
            <w:vAlign w:val="center"/>
            <w:hideMark/>
          </w:tcPr>
          <w:p w14:paraId="06935CBA" w14:textId="77777777" w:rsidR="008B4D33" w:rsidRPr="00687645" w:rsidRDefault="008B4D33">
            <w:pPr>
              <w:jc w:val="center"/>
              <w:rPr>
                <w:rFonts w:ascii="Calibri" w:hAnsi="Calibri" w:cs="Calibri"/>
                <w:i/>
                <w:iCs/>
                <w:color w:val="000000"/>
                <w:sz w:val="22"/>
                <w:szCs w:val="22"/>
              </w:rPr>
            </w:pPr>
            <w:r w:rsidRPr="00687645">
              <w:rPr>
                <w:rFonts w:ascii="Calibri" w:hAnsi="Calibri" w:cs="Calibri"/>
                <w:i/>
                <w:iCs/>
                <w:color w:val="000000"/>
                <w:sz w:val="22"/>
                <w:szCs w:val="22"/>
              </w:rPr>
              <w:t>2025.4</w:t>
            </w:r>
          </w:p>
        </w:tc>
        <w:tc>
          <w:tcPr>
            <w:tcW w:w="1260" w:type="dxa"/>
            <w:tcBorders>
              <w:top w:val="nil"/>
              <w:left w:val="nil"/>
              <w:bottom w:val="single" w:sz="8" w:space="0" w:color="auto"/>
              <w:right w:val="single" w:sz="8" w:space="0" w:color="auto"/>
            </w:tcBorders>
            <w:shd w:val="clear" w:color="000000" w:fill="FFFFFF"/>
            <w:vAlign w:val="center"/>
            <w:hideMark/>
          </w:tcPr>
          <w:p w14:paraId="5E58F714" w14:textId="77777777" w:rsidR="008B4D33" w:rsidRPr="00687645" w:rsidRDefault="008B4D33">
            <w:pPr>
              <w:jc w:val="center"/>
              <w:rPr>
                <w:rFonts w:ascii="Calibri" w:hAnsi="Calibri" w:cs="Calibri"/>
                <w:i/>
                <w:iCs/>
                <w:color w:val="000000"/>
                <w:sz w:val="22"/>
                <w:szCs w:val="22"/>
              </w:rPr>
            </w:pPr>
            <w:r w:rsidRPr="00687645">
              <w:rPr>
                <w:rFonts w:ascii="Calibri" w:hAnsi="Calibri" w:cs="Calibri"/>
                <w:i/>
                <w:iCs/>
                <w:color w:val="000000"/>
                <w:sz w:val="22"/>
                <w:szCs w:val="22"/>
              </w:rPr>
              <w:t>9.3</w:t>
            </w:r>
          </w:p>
        </w:tc>
      </w:tr>
      <w:tr w:rsidR="008B4D33" w14:paraId="2F03956B" w14:textId="77777777" w:rsidTr="0056032F">
        <w:trPr>
          <w:trHeight w:val="315"/>
        </w:trPr>
        <w:tc>
          <w:tcPr>
            <w:tcW w:w="1272" w:type="dxa"/>
            <w:vMerge/>
            <w:tcBorders>
              <w:top w:val="nil"/>
              <w:left w:val="single" w:sz="8" w:space="0" w:color="auto"/>
              <w:bottom w:val="single" w:sz="8" w:space="0" w:color="000000"/>
              <w:right w:val="single" w:sz="8" w:space="0" w:color="auto"/>
            </w:tcBorders>
            <w:vAlign w:val="center"/>
            <w:hideMark/>
          </w:tcPr>
          <w:p w14:paraId="5856CFC8" w14:textId="77777777" w:rsidR="008B4D33" w:rsidRDefault="008B4D33">
            <w:pPr>
              <w:rPr>
                <w:rFonts w:ascii="Calibri" w:hAnsi="Calibri" w:cs="Calibri"/>
                <w:color w:val="000000"/>
                <w:sz w:val="22"/>
                <w:szCs w:val="22"/>
              </w:rPr>
            </w:pPr>
          </w:p>
        </w:tc>
        <w:tc>
          <w:tcPr>
            <w:tcW w:w="1661" w:type="dxa"/>
            <w:tcBorders>
              <w:top w:val="nil"/>
              <w:left w:val="nil"/>
              <w:bottom w:val="nil"/>
              <w:right w:val="single" w:sz="8" w:space="0" w:color="auto"/>
            </w:tcBorders>
            <w:shd w:val="clear" w:color="000000" w:fill="FFFFFF"/>
            <w:vAlign w:val="center"/>
            <w:hideMark/>
          </w:tcPr>
          <w:p w14:paraId="156DFE4E"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Grass and shrub land</w:t>
            </w:r>
          </w:p>
        </w:tc>
        <w:tc>
          <w:tcPr>
            <w:tcW w:w="1365" w:type="dxa"/>
            <w:tcBorders>
              <w:top w:val="nil"/>
              <w:left w:val="nil"/>
              <w:bottom w:val="single" w:sz="8" w:space="0" w:color="auto"/>
              <w:right w:val="dotted" w:sz="4" w:space="0" w:color="auto"/>
            </w:tcBorders>
            <w:shd w:val="clear" w:color="000000" w:fill="FFFFFF"/>
            <w:noWrap/>
            <w:vAlign w:val="center"/>
            <w:hideMark/>
          </w:tcPr>
          <w:p w14:paraId="37C1B73A"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803.0</w:t>
            </w:r>
          </w:p>
        </w:tc>
        <w:tc>
          <w:tcPr>
            <w:tcW w:w="1356" w:type="dxa"/>
            <w:tcBorders>
              <w:top w:val="nil"/>
              <w:left w:val="nil"/>
              <w:bottom w:val="single" w:sz="8" w:space="0" w:color="auto"/>
              <w:right w:val="single" w:sz="8" w:space="0" w:color="auto"/>
            </w:tcBorders>
            <w:shd w:val="clear" w:color="000000" w:fill="FFFFFF"/>
            <w:vAlign w:val="center"/>
            <w:hideMark/>
          </w:tcPr>
          <w:p w14:paraId="1D9EEB16"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10.0</w:t>
            </w:r>
          </w:p>
        </w:tc>
        <w:tc>
          <w:tcPr>
            <w:tcW w:w="1266" w:type="dxa"/>
            <w:tcBorders>
              <w:top w:val="nil"/>
              <w:left w:val="nil"/>
              <w:bottom w:val="single" w:sz="8" w:space="0" w:color="auto"/>
              <w:right w:val="dotted" w:sz="4" w:space="0" w:color="auto"/>
            </w:tcBorders>
            <w:shd w:val="clear" w:color="000000" w:fill="FFFFFF"/>
            <w:noWrap/>
            <w:vAlign w:val="center"/>
            <w:hideMark/>
          </w:tcPr>
          <w:p w14:paraId="74AD7B9D"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301.6</w:t>
            </w:r>
          </w:p>
        </w:tc>
        <w:tc>
          <w:tcPr>
            <w:tcW w:w="1350" w:type="dxa"/>
            <w:tcBorders>
              <w:top w:val="nil"/>
              <w:left w:val="nil"/>
              <w:bottom w:val="single" w:sz="8" w:space="0" w:color="auto"/>
              <w:right w:val="single" w:sz="8" w:space="0" w:color="auto"/>
            </w:tcBorders>
            <w:shd w:val="clear" w:color="000000" w:fill="FFFFFF"/>
            <w:vAlign w:val="center"/>
            <w:hideMark/>
          </w:tcPr>
          <w:p w14:paraId="3E6C20F5"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9.1</w:t>
            </w:r>
          </w:p>
        </w:tc>
        <w:tc>
          <w:tcPr>
            <w:tcW w:w="1170" w:type="dxa"/>
            <w:tcBorders>
              <w:top w:val="nil"/>
              <w:left w:val="nil"/>
              <w:bottom w:val="single" w:sz="8" w:space="0" w:color="auto"/>
              <w:right w:val="dotted" w:sz="4" w:space="0" w:color="auto"/>
            </w:tcBorders>
            <w:shd w:val="clear" w:color="000000" w:fill="FFFFFF"/>
            <w:noWrap/>
            <w:vAlign w:val="center"/>
            <w:hideMark/>
          </w:tcPr>
          <w:p w14:paraId="553938A2"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919.7</w:t>
            </w:r>
          </w:p>
        </w:tc>
        <w:tc>
          <w:tcPr>
            <w:tcW w:w="1170" w:type="dxa"/>
            <w:tcBorders>
              <w:top w:val="nil"/>
              <w:left w:val="nil"/>
              <w:bottom w:val="single" w:sz="8" w:space="0" w:color="auto"/>
              <w:right w:val="single" w:sz="8" w:space="0" w:color="auto"/>
            </w:tcBorders>
            <w:shd w:val="clear" w:color="000000" w:fill="FFFFFF"/>
            <w:vAlign w:val="center"/>
            <w:hideMark/>
          </w:tcPr>
          <w:p w14:paraId="0F3E92B2"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8.9</w:t>
            </w:r>
          </w:p>
        </w:tc>
        <w:tc>
          <w:tcPr>
            <w:tcW w:w="990" w:type="dxa"/>
            <w:tcBorders>
              <w:top w:val="nil"/>
              <w:left w:val="nil"/>
              <w:bottom w:val="single" w:sz="8" w:space="0" w:color="auto"/>
              <w:right w:val="dotted" w:sz="4" w:space="0" w:color="auto"/>
            </w:tcBorders>
            <w:shd w:val="clear" w:color="000000" w:fill="FFFFFF"/>
            <w:vAlign w:val="center"/>
            <w:hideMark/>
          </w:tcPr>
          <w:p w14:paraId="6E8E6318"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2024.3</w:t>
            </w:r>
          </w:p>
        </w:tc>
        <w:tc>
          <w:tcPr>
            <w:tcW w:w="1260" w:type="dxa"/>
            <w:tcBorders>
              <w:top w:val="nil"/>
              <w:left w:val="nil"/>
              <w:bottom w:val="single" w:sz="8" w:space="0" w:color="auto"/>
              <w:right w:val="single" w:sz="8" w:space="0" w:color="auto"/>
            </w:tcBorders>
            <w:shd w:val="clear" w:color="000000" w:fill="FFFFFF"/>
            <w:vAlign w:val="center"/>
            <w:hideMark/>
          </w:tcPr>
          <w:p w14:paraId="677C84E8"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9.3</w:t>
            </w:r>
          </w:p>
        </w:tc>
      </w:tr>
      <w:tr w:rsidR="008B4D33" w14:paraId="3EA47A2B" w14:textId="77777777" w:rsidTr="0056032F">
        <w:trPr>
          <w:trHeight w:val="315"/>
        </w:trPr>
        <w:tc>
          <w:tcPr>
            <w:tcW w:w="1272" w:type="dxa"/>
            <w:vMerge/>
            <w:tcBorders>
              <w:top w:val="nil"/>
              <w:left w:val="single" w:sz="8" w:space="0" w:color="auto"/>
              <w:bottom w:val="single" w:sz="8" w:space="0" w:color="000000"/>
              <w:right w:val="single" w:sz="8" w:space="0" w:color="auto"/>
            </w:tcBorders>
            <w:vAlign w:val="center"/>
            <w:hideMark/>
          </w:tcPr>
          <w:p w14:paraId="3787FB3E" w14:textId="77777777" w:rsidR="008B4D33" w:rsidRDefault="008B4D33">
            <w:pPr>
              <w:rPr>
                <w:rFonts w:ascii="Calibri" w:hAnsi="Calibri" w:cs="Calibri"/>
                <w:color w:val="000000"/>
                <w:sz w:val="22"/>
                <w:szCs w:val="22"/>
              </w:rPr>
            </w:pPr>
          </w:p>
        </w:tc>
        <w:tc>
          <w:tcPr>
            <w:tcW w:w="1661" w:type="dxa"/>
            <w:tcBorders>
              <w:top w:val="nil"/>
              <w:left w:val="nil"/>
              <w:bottom w:val="single" w:sz="8" w:space="0" w:color="auto"/>
              <w:right w:val="single" w:sz="8" w:space="0" w:color="auto"/>
            </w:tcBorders>
            <w:shd w:val="clear" w:color="000000" w:fill="FFFFFF"/>
            <w:vAlign w:val="center"/>
            <w:hideMark/>
          </w:tcPr>
          <w:p w14:paraId="76BE5D66"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Pine-Oak Barrens</w:t>
            </w:r>
          </w:p>
        </w:tc>
        <w:tc>
          <w:tcPr>
            <w:tcW w:w="1365" w:type="dxa"/>
            <w:tcBorders>
              <w:top w:val="nil"/>
              <w:left w:val="nil"/>
              <w:bottom w:val="single" w:sz="8" w:space="0" w:color="auto"/>
              <w:right w:val="dotted" w:sz="4" w:space="0" w:color="auto"/>
            </w:tcBorders>
            <w:shd w:val="clear" w:color="000000" w:fill="FFFFFF"/>
            <w:noWrap/>
            <w:vAlign w:val="center"/>
            <w:hideMark/>
          </w:tcPr>
          <w:p w14:paraId="00121722"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0.9</w:t>
            </w:r>
          </w:p>
        </w:tc>
        <w:tc>
          <w:tcPr>
            <w:tcW w:w="1356" w:type="dxa"/>
            <w:tcBorders>
              <w:top w:val="nil"/>
              <w:left w:val="nil"/>
              <w:bottom w:val="single" w:sz="8" w:space="0" w:color="auto"/>
              <w:right w:val="single" w:sz="8" w:space="0" w:color="auto"/>
            </w:tcBorders>
            <w:shd w:val="clear" w:color="000000" w:fill="FFFFFF"/>
            <w:vAlign w:val="center"/>
            <w:hideMark/>
          </w:tcPr>
          <w:p w14:paraId="510E173E"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0.0</w:t>
            </w:r>
          </w:p>
        </w:tc>
        <w:tc>
          <w:tcPr>
            <w:tcW w:w="1266" w:type="dxa"/>
            <w:tcBorders>
              <w:top w:val="nil"/>
              <w:left w:val="nil"/>
              <w:bottom w:val="single" w:sz="8" w:space="0" w:color="auto"/>
              <w:right w:val="dotted" w:sz="4" w:space="0" w:color="auto"/>
            </w:tcBorders>
            <w:shd w:val="clear" w:color="000000" w:fill="FFFFFF"/>
            <w:noWrap/>
            <w:vAlign w:val="center"/>
            <w:hideMark/>
          </w:tcPr>
          <w:p w14:paraId="249E7F97"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0.0</w:t>
            </w:r>
          </w:p>
        </w:tc>
        <w:tc>
          <w:tcPr>
            <w:tcW w:w="1350" w:type="dxa"/>
            <w:tcBorders>
              <w:top w:val="nil"/>
              <w:left w:val="nil"/>
              <w:bottom w:val="single" w:sz="8" w:space="0" w:color="auto"/>
              <w:right w:val="single" w:sz="8" w:space="0" w:color="auto"/>
            </w:tcBorders>
            <w:shd w:val="clear" w:color="000000" w:fill="FFFFFF"/>
            <w:vAlign w:val="center"/>
            <w:hideMark/>
          </w:tcPr>
          <w:p w14:paraId="6F9191B4"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0.0</w:t>
            </w:r>
          </w:p>
        </w:tc>
        <w:tc>
          <w:tcPr>
            <w:tcW w:w="1170" w:type="dxa"/>
            <w:tcBorders>
              <w:top w:val="nil"/>
              <w:left w:val="nil"/>
              <w:bottom w:val="single" w:sz="8" w:space="0" w:color="auto"/>
              <w:right w:val="dotted" w:sz="4" w:space="0" w:color="auto"/>
            </w:tcBorders>
            <w:shd w:val="clear" w:color="000000" w:fill="FFFFFF"/>
            <w:noWrap/>
            <w:vAlign w:val="center"/>
            <w:hideMark/>
          </w:tcPr>
          <w:p w14:paraId="3E8F9C07"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0.2</w:t>
            </w:r>
          </w:p>
        </w:tc>
        <w:tc>
          <w:tcPr>
            <w:tcW w:w="1170" w:type="dxa"/>
            <w:tcBorders>
              <w:top w:val="nil"/>
              <w:left w:val="nil"/>
              <w:bottom w:val="single" w:sz="8" w:space="0" w:color="auto"/>
              <w:right w:val="single" w:sz="8" w:space="0" w:color="auto"/>
            </w:tcBorders>
            <w:shd w:val="clear" w:color="000000" w:fill="FFFFFF"/>
            <w:vAlign w:val="center"/>
            <w:hideMark/>
          </w:tcPr>
          <w:p w14:paraId="26619947"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0.0</w:t>
            </w:r>
          </w:p>
        </w:tc>
        <w:tc>
          <w:tcPr>
            <w:tcW w:w="990" w:type="dxa"/>
            <w:tcBorders>
              <w:top w:val="nil"/>
              <w:left w:val="nil"/>
              <w:bottom w:val="single" w:sz="8" w:space="0" w:color="auto"/>
              <w:right w:val="dotted" w:sz="4" w:space="0" w:color="auto"/>
            </w:tcBorders>
            <w:shd w:val="clear" w:color="000000" w:fill="FFFFFF"/>
            <w:vAlign w:val="center"/>
            <w:hideMark/>
          </w:tcPr>
          <w:p w14:paraId="0941FF61"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1.1</w:t>
            </w:r>
          </w:p>
        </w:tc>
        <w:tc>
          <w:tcPr>
            <w:tcW w:w="1260" w:type="dxa"/>
            <w:tcBorders>
              <w:top w:val="nil"/>
              <w:left w:val="nil"/>
              <w:bottom w:val="single" w:sz="8" w:space="0" w:color="auto"/>
              <w:right w:val="single" w:sz="8" w:space="0" w:color="auto"/>
            </w:tcBorders>
            <w:shd w:val="clear" w:color="000000" w:fill="FFFFFF"/>
            <w:vAlign w:val="center"/>
            <w:hideMark/>
          </w:tcPr>
          <w:p w14:paraId="43EEE3C3"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0.0</w:t>
            </w:r>
          </w:p>
        </w:tc>
      </w:tr>
      <w:tr w:rsidR="008B4D33" w14:paraId="3DC2EFC0" w14:textId="77777777" w:rsidTr="0056032F">
        <w:trPr>
          <w:trHeight w:val="915"/>
        </w:trPr>
        <w:tc>
          <w:tcPr>
            <w:tcW w:w="1272" w:type="dxa"/>
            <w:tcBorders>
              <w:top w:val="nil"/>
              <w:left w:val="single" w:sz="8" w:space="0" w:color="auto"/>
              <w:bottom w:val="single" w:sz="8" w:space="0" w:color="auto"/>
              <w:right w:val="nil"/>
            </w:tcBorders>
            <w:shd w:val="clear" w:color="000000" w:fill="FFFFFF"/>
            <w:vAlign w:val="center"/>
            <w:hideMark/>
          </w:tcPr>
          <w:p w14:paraId="46EFA4A7"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Recreation/ Open Space</w:t>
            </w:r>
          </w:p>
        </w:tc>
        <w:tc>
          <w:tcPr>
            <w:tcW w:w="1661" w:type="dxa"/>
            <w:tcBorders>
              <w:top w:val="nil"/>
              <w:left w:val="single" w:sz="8" w:space="0" w:color="auto"/>
              <w:bottom w:val="single" w:sz="8" w:space="0" w:color="auto"/>
              <w:right w:val="single" w:sz="8" w:space="0" w:color="auto"/>
            </w:tcBorders>
            <w:shd w:val="clear" w:color="000000" w:fill="FFFFFF"/>
            <w:vAlign w:val="center"/>
            <w:hideMark/>
          </w:tcPr>
          <w:p w14:paraId="728C7D1F"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 </w:t>
            </w:r>
          </w:p>
        </w:tc>
        <w:tc>
          <w:tcPr>
            <w:tcW w:w="1365" w:type="dxa"/>
            <w:tcBorders>
              <w:top w:val="nil"/>
              <w:left w:val="nil"/>
              <w:bottom w:val="single" w:sz="8" w:space="0" w:color="auto"/>
              <w:right w:val="dotted" w:sz="4" w:space="0" w:color="auto"/>
            </w:tcBorders>
            <w:shd w:val="clear" w:color="000000" w:fill="FFFFFF"/>
            <w:noWrap/>
            <w:vAlign w:val="center"/>
            <w:hideMark/>
          </w:tcPr>
          <w:p w14:paraId="12A90207"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633.1</w:t>
            </w:r>
          </w:p>
        </w:tc>
        <w:tc>
          <w:tcPr>
            <w:tcW w:w="1356" w:type="dxa"/>
            <w:tcBorders>
              <w:top w:val="nil"/>
              <w:left w:val="nil"/>
              <w:bottom w:val="single" w:sz="8" w:space="0" w:color="auto"/>
              <w:right w:val="single" w:sz="8" w:space="0" w:color="auto"/>
            </w:tcBorders>
            <w:shd w:val="clear" w:color="000000" w:fill="FFFFFF"/>
            <w:vAlign w:val="center"/>
            <w:hideMark/>
          </w:tcPr>
          <w:p w14:paraId="78BF9271"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7.9</w:t>
            </w:r>
          </w:p>
        </w:tc>
        <w:tc>
          <w:tcPr>
            <w:tcW w:w="1266" w:type="dxa"/>
            <w:tcBorders>
              <w:top w:val="nil"/>
              <w:left w:val="nil"/>
              <w:bottom w:val="single" w:sz="8" w:space="0" w:color="auto"/>
              <w:right w:val="dotted" w:sz="4" w:space="0" w:color="auto"/>
            </w:tcBorders>
            <w:shd w:val="clear" w:color="000000" w:fill="FFFFFF"/>
            <w:noWrap/>
            <w:vAlign w:val="center"/>
            <w:hideMark/>
          </w:tcPr>
          <w:p w14:paraId="6861F953"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102.5</w:t>
            </w:r>
          </w:p>
        </w:tc>
        <w:tc>
          <w:tcPr>
            <w:tcW w:w="1350" w:type="dxa"/>
            <w:tcBorders>
              <w:top w:val="nil"/>
              <w:left w:val="nil"/>
              <w:bottom w:val="single" w:sz="8" w:space="0" w:color="auto"/>
              <w:right w:val="single" w:sz="8" w:space="0" w:color="auto"/>
            </w:tcBorders>
            <w:shd w:val="clear" w:color="000000" w:fill="FFFFFF"/>
            <w:vAlign w:val="center"/>
            <w:hideMark/>
          </w:tcPr>
          <w:p w14:paraId="11A6E429"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3.1</w:t>
            </w:r>
          </w:p>
        </w:tc>
        <w:tc>
          <w:tcPr>
            <w:tcW w:w="1170" w:type="dxa"/>
            <w:tcBorders>
              <w:top w:val="nil"/>
              <w:left w:val="nil"/>
              <w:bottom w:val="single" w:sz="8" w:space="0" w:color="auto"/>
              <w:right w:val="dotted" w:sz="4" w:space="0" w:color="auto"/>
            </w:tcBorders>
            <w:shd w:val="clear" w:color="000000" w:fill="FFFFFF"/>
            <w:noWrap/>
            <w:vAlign w:val="center"/>
            <w:hideMark/>
          </w:tcPr>
          <w:p w14:paraId="4A8BA7CD"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184.9</w:t>
            </w:r>
          </w:p>
        </w:tc>
        <w:tc>
          <w:tcPr>
            <w:tcW w:w="1170" w:type="dxa"/>
            <w:tcBorders>
              <w:top w:val="nil"/>
              <w:left w:val="nil"/>
              <w:bottom w:val="single" w:sz="8" w:space="0" w:color="auto"/>
              <w:right w:val="single" w:sz="8" w:space="0" w:color="auto"/>
            </w:tcBorders>
            <w:shd w:val="clear" w:color="000000" w:fill="FFFFFF"/>
            <w:vAlign w:val="center"/>
            <w:hideMark/>
          </w:tcPr>
          <w:p w14:paraId="6AB13212"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1.8</w:t>
            </w:r>
          </w:p>
        </w:tc>
        <w:tc>
          <w:tcPr>
            <w:tcW w:w="990" w:type="dxa"/>
            <w:tcBorders>
              <w:top w:val="nil"/>
              <w:left w:val="nil"/>
              <w:bottom w:val="single" w:sz="8" w:space="0" w:color="auto"/>
              <w:right w:val="dotted" w:sz="4" w:space="0" w:color="auto"/>
            </w:tcBorders>
            <w:shd w:val="clear" w:color="000000" w:fill="FFFFFF"/>
            <w:vAlign w:val="center"/>
            <w:hideMark/>
          </w:tcPr>
          <w:p w14:paraId="2ADACB23"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920.5</w:t>
            </w:r>
          </w:p>
        </w:tc>
        <w:tc>
          <w:tcPr>
            <w:tcW w:w="1260" w:type="dxa"/>
            <w:tcBorders>
              <w:top w:val="nil"/>
              <w:left w:val="nil"/>
              <w:bottom w:val="single" w:sz="8" w:space="0" w:color="auto"/>
              <w:right w:val="single" w:sz="8" w:space="0" w:color="auto"/>
            </w:tcBorders>
            <w:shd w:val="clear" w:color="000000" w:fill="FFFFFF"/>
            <w:vAlign w:val="center"/>
            <w:hideMark/>
          </w:tcPr>
          <w:p w14:paraId="26AFB517"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4.2</w:t>
            </w:r>
          </w:p>
        </w:tc>
      </w:tr>
    </w:tbl>
    <w:p w14:paraId="62A04029" w14:textId="77777777" w:rsidR="008B4D33" w:rsidRDefault="008B4D33" w:rsidP="005704A8">
      <w:pPr>
        <w:pStyle w:val="NormalWeb"/>
        <w:spacing w:before="0" w:beforeAutospacing="0" w:after="0" w:afterAutospacing="0"/>
        <w:rPr>
          <w:rFonts w:ascii="Arial" w:hAnsi="Arial" w:cs="Arial"/>
          <w:i/>
          <w:sz w:val="18"/>
          <w:szCs w:val="18"/>
        </w:rPr>
      </w:pPr>
      <w:r w:rsidRPr="00196975">
        <w:rPr>
          <w:rFonts w:ascii="Arial" w:hAnsi="Arial" w:cs="Arial"/>
          <w:i/>
          <w:sz w:val="18"/>
          <w:szCs w:val="18"/>
        </w:rPr>
        <w:lastRenderedPageBreak/>
        <w:t>Table 2.</w:t>
      </w:r>
      <w:r>
        <w:rPr>
          <w:rFonts w:ascii="Arial" w:hAnsi="Arial" w:cs="Arial"/>
          <w:i/>
          <w:sz w:val="18"/>
          <w:szCs w:val="18"/>
        </w:rPr>
        <w:t>5</w:t>
      </w:r>
      <w:r w:rsidRPr="00196975">
        <w:rPr>
          <w:rFonts w:ascii="Arial" w:hAnsi="Arial" w:cs="Arial"/>
          <w:i/>
          <w:sz w:val="18"/>
          <w:szCs w:val="18"/>
        </w:rPr>
        <w:t>.  20</w:t>
      </w:r>
      <w:r>
        <w:rPr>
          <w:rFonts w:ascii="Arial" w:hAnsi="Arial" w:cs="Arial"/>
          <w:i/>
          <w:sz w:val="18"/>
          <w:szCs w:val="18"/>
        </w:rPr>
        <w:t>20</w:t>
      </w:r>
      <w:r w:rsidRPr="00196975">
        <w:rPr>
          <w:rFonts w:ascii="Arial" w:hAnsi="Arial" w:cs="Arial"/>
          <w:i/>
          <w:sz w:val="18"/>
          <w:szCs w:val="18"/>
        </w:rPr>
        <w:t xml:space="preserve"> Land</w:t>
      </w:r>
      <w:r>
        <w:rPr>
          <w:rFonts w:ascii="Arial" w:hAnsi="Arial" w:cs="Arial"/>
          <w:i/>
          <w:sz w:val="18"/>
          <w:szCs w:val="18"/>
        </w:rPr>
        <w:t xml:space="preserve"> </w:t>
      </w:r>
      <w:r w:rsidRPr="00196975">
        <w:rPr>
          <w:rFonts w:ascii="Arial" w:hAnsi="Arial" w:cs="Arial"/>
          <w:i/>
          <w:sz w:val="18"/>
          <w:szCs w:val="18"/>
        </w:rPr>
        <w:t>use</w:t>
      </w:r>
      <w:r>
        <w:rPr>
          <w:rFonts w:ascii="Arial" w:hAnsi="Arial" w:cs="Arial"/>
          <w:i/>
          <w:sz w:val="18"/>
          <w:szCs w:val="18"/>
        </w:rPr>
        <w:t xml:space="preserve"> and Land cover</w:t>
      </w:r>
      <w:r w:rsidRPr="00196975">
        <w:rPr>
          <w:rFonts w:ascii="Arial" w:hAnsi="Arial" w:cs="Arial"/>
          <w:i/>
          <w:sz w:val="18"/>
          <w:szCs w:val="18"/>
        </w:rPr>
        <w:t xml:space="preserve"> in the Watershed, broken into the sub-watersheds. </w:t>
      </w:r>
    </w:p>
    <w:p w14:paraId="67CF473D" w14:textId="30D7D201" w:rsidR="008B4D33" w:rsidRPr="00196975" w:rsidRDefault="008B4D33" w:rsidP="005704A8">
      <w:pPr>
        <w:pStyle w:val="NormalWeb"/>
        <w:spacing w:before="0" w:beforeAutospacing="0" w:after="0" w:afterAutospacing="0"/>
        <w:rPr>
          <w:rFonts w:ascii="Arial" w:hAnsi="Arial" w:cs="Arial"/>
          <w:i/>
          <w:sz w:val="18"/>
          <w:szCs w:val="18"/>
        </w:rPr>
      </w:pPr>
      <w:r w:rsidRPr="00196975">
        <w:rPr>
          <w:rFonts w:ascii="Arial" w:hAnsi="Arial" w:cs="Arial"/>
          <w:i/>
          <w:sz w:val="18"/>
          <w:szCs w:val="18"/>
        </w:rPr>
        <w:t xml:space="preserve"> </w:t>
      </w:r>
    </w:p>
    <w:tbl>
      <w:tblPr>
        <w:tblW w:w="13130" w:type="dxa"/>
        <w:tblLook w:val="04A0" w:firstRow="1" w:lastRow="0" w:firstColumn="1" w:lastColumn="0" w:noHBand="0" w:noVBand="1"/>
      </w:tblPr>
      <w:tblGrid>
        <w:gridCol w:w="1160"/>
        <w:gridCol w:w="1350"/>
        <w:gridCol w:w="1133"/>
        <w:gridCol w:w="1616"/>
        <w:gridCol w:w="1031"/>
        <w:gridCol w:w="1620"/>
        <w:gridCol w:w="1440"/>
        <w:gridCol w:w="1170"/>
        <w:gridCol w:w="1080"/>
        <w:gridCol w:w="1530"/>
      </w:tblGrid>
      <w:tr w:rsidR="008B4D33" w14:paraId="5678A68F" w14:textId="77777777" w:rsidTr="0056032F">
        <w:trPr>
          <w:trHeight w:val="615"/>
        </w:trPr>
        <w:tc>
          <w:tcPr>
            <w:tcW w:w="1160" w:type="dxa"/>
            <w:tcBorders>
              <w:top w:val="single" w:sz="8" w:space="0" w:color="auto"/>
              <w:left w:val="single" w:sz="8" w:space="0" w:color="auto"/>
              <w:bottom w:val="single" w:sz="8" w:space="0" w:color="auto"/>
              <w:right w:val="nil"/>
            </w:tcBorders>
            <w:shd w:val="clear" w:color="000000" w:fill="FFFFFF"/>
            <w:vAlign w:val="center"/>
            <w:hideMark/>
          </w:tcPr>
          <w:p w14:paraId="37BADC43" w14:textId="77777777" w:rsidR="008B4D33" w:rsidRDefault="008B4D33">
            <w:pPr>
              <w:jc w:val="center"/>
              <w:rPr>
                <w:rFonts w:ascii="Calibri" w:hAnsi="Calibri" w:cs="Calibri"/>
                <w:b/>
                <w:bCs/>
                <w:color w:val="000000"/>
                <w:sz w:val="22"/>
                <w:szCs w:val="22"/>
              </w:rPr>
            </w:pPr>
            <w:proofErr w:type="spellStart"/>
            <w:r>
              <w:rPr>
                <w:rFonts w:ascii="Calibri" w:hAnsi="Calibri" w:cs="Calibri"/>
                <w:b/>
                <w:bCs/>
                <w:color w:val="000000"/>
                <w:sz w:val="22"/>
                <w:szCs w:val="22"/>
              </w:rPr>
              <w:t>Landuse</w:t>
            </w:r>
            <w:proofErr w:type="spellEnd"/>
            <w:r>
              <w:rPr>
                <w:rFonts w:ascii="Calibri" w:hAnsi="Calibri" w:cs="Calibri"/>
                <w:b/>
                <w:bCs/>
                <w:color w:val="000000"/>
                <w:sz w:val="22"/>
                <w:szCs w:val="22"/>
              </w:rPr>
              <w:t>/ Landcover</w:t>
            </w:r>
          </w:p>
        </w:tc>
        <w:tc>
          <w:tcPr>
            <w:tcW w:w="1350"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16A0C431" w14:textId="77777777" w:rsidR="008B4D33" w:rsidRDefault="008B4D33">
            <w:pPr>
              <w:jc w:val="center"/>
              <w:rPr>
                <w:rFonts w:ascii="Calibri" w:hAnsi="Calibri" w:cs="Calibri"/>
                <w:b/>
                <w:bCs/>
                <w:color w:val="000000"/>
                <w:sz w:val="22"/>
                <w:szCs w:val="22"/>
              </w:rPr>
            </w:pPr>
            <w:r>
              <w:rPr>
                <w:rFonts w:ascii="Calibri" w:hAnsi="Calibri" w:cs="Calibri"/>
                <w:b/>
                <w:bCs/>
                <w:color w:val="000000"/>
                <w:sz w:val="22"/>
                <w:szCs w:val="22"/>
              </w:rPr>
              <w:t>Breakout</w:t>
            </w:r>
          </w:p>
        </w:tc>
        <w:tc>
          <w:tcPr>
            <w:tcW w:w="2749" w:type="dxa"/>
            <w:gridSpan w:val="2"/>
            <w:tcBorders>
              <w:top w:val="single" w:sz="8" w:space="0" w:color="auto"/>
              <w:left w:val="nil"/>
              <w:bottom w:val="single" w:sz="8" w:space="0" w:color="auto"/>
              <w:right w:val="single" w:sz="8" w:space="0" w:color="000000"/>
            </w:tcBorders>
            <w:shd w:val="clear" w:color="000000" w:fill="FFFFFF"/>
            <w:vAlign w:val="center"/>
            <w:hideMark/>
          </w:tcPr>
          <w:p w14:paraId="30935B14" w14:textId="77777777" w:rsidR="008B4D33" w:rsidRDefault="008B4D33">
            <w:pPr>
              <w:jc w:val="center"/>
              <w:rPr>
                <w:rFonts w:ascii="Calibri" w:hAnsi="Calibri" w:cs="Calibri"/>
                <w:b/>
                <w:bCs/>
                <w:color w:val="000000"/>
                <w:sz w:val="22"/>
                <w:szCs w:val="22"/>
              </w:rPr>
            </w:pPr>
            <w:r>
              <w:rPr>
                <w:rFonts w:ascii="Calibri" w:hAnsi="Calibri" w:cs="Calibri"/>
                <w:b/>
                <w:bCs/>
                <w:color w:val="000000"/>
                <w:sz w:val="22"/>
                <w:szCs w:val="22"/>
              </w:rPr>
              <w:t>Superior/Peninsular/Huron River</w:t>
            </w:r>
          </w:p>
        </w:tc>
        <w:tc>
          <w:tcPr>
            <w:tcW w:w="2651" w:type="dxa"/>
            <w:gridSpan w:val="2"/>
            <w:tcBorders>
              <w:top w:val="single" w:sz="8" w:space="0" w:color="auto"/>
              <w:left w:val="nil"/>
              <w:bottom w:val="single" w:sz="8" w:space="0" w:color="auto"/>
              <w:right w:val="single" w:sz="8" w:space="0" w:color="000000"/>
            </w:tcBorders>
            <w:shd w:val="clear" w:color="000000" w:fill="FFFFFF"/>
            <w:vAlign w:val="center"/>
            <w:hideMark/>
          </w:tcPr>
          <w:p w14:paraId="2019C87D" w14:textId="77777777" w:rsidR="008B4D33" w:rsidRDefault="008B4D33">
            <w:pPr>
              <w:jc w:val="center"/>
              <w:rPr>
                <w:rFonts w:ascii="Calibri" w:hAnsi="Calibri" w:cs="Calibri"/>
                <w:b/>
                <w:bCs/>
                <w:color w:val="000000"/>
                <w:sz w:val="22"/>
                <w:szCs w:val="22"/>
              </w:rPr>
            </w:pPr>
            <w:r>
              <w:rPr>
                <w:rFonts w:ascii="Calibri" w:hAnsi="Calibri" w:cs="Calibri"/>
                <w:b/>
                <w:bCs/>
                <w:color w:val="000000"/>
                <w:sz w:val="22"/>
                <w:szCs w:val="22"/>
              </w:rPr>
              <w:t>Ford</w:t>
            </w:r>
          </w:p>
        </w:tc>
        <w:tc>
          <w:tcPr>
            <w:tcW w:w="2610" w:type="dxa"/>
            <w:gridSpan w:val="2"/>
            <w:tcBorders>
              <w:top w:val="single" w:sz="8" w:space="0" w:color="auto"/>
              <w:left w:val="nil"/>
              <w:bottom w:val="single" w:sz="8" w:space="0" w:color="auto"/>
              <w:right w:val="single" w:sz="8" w:space="0" w:color="000000"/>
            </w:tcBorders>
            <w:shd w:val="clear" w:color="000000" w:fill="FFFFFF"/>
            <w:vAlign w:val="center"/>
            <w:hideMark/>
          </w:tcPr>
          <w:p w14:paraId="182D1C0F" w14:textId="77777777" w:rsidR="008B4D33" w:rsidRDefault="008B4D33">
            <w:pPr>
              <w:jc w:val="center"/>
              <w:rPr>
                <w:rFonts w:ascii="Calibri" w:hAnsi="Calibri" w:cs="Calibri"/>
                <w:b/>
                <w:bCs/>
                <w:color w:val="000000"/>
                <w:sz w:val="22"/>
                <w:szCs w:val="22"/>
              </w:rPr>
            </w:pPr>
            <w:r>
              <w:rPr>
                <w:rFonts w:ascii="Calibri" w:hAnsi="Calibri" w:cs="Calibri"/>
                <w:b/>
                <w:bCs/>
                <w:color w:val="000000"/>
                <w:sz w:val="22"/>
                <w:szCs w:val="22"/>
              </w:rPr>
              <w:t>Belleville</w:t>
            </w:r>
          </w:p>
        </w:tc>
        <w:tc>
          <w:tcPr>
            <w:tcW w:w="2610" w:type="dxa"/>
            <w:gridSpan w:val="2"/>
            <w:tcBorders>
              <w:top w:val="single" w:sz="8" w:space="0" w:color="auto"/>
              <w:left w:val="nil"/>
              <w:bottom w:val="single" w:sz="8" w:space="0" w:color="auto"/>
              <w:right w:val="single" w:sz="8" w:space="0" w:color="auto"/>
            </w:tcBorders>
            <w:shd w:val="clear" w:color="000000" w:fill="FFFFFF"/>
            <w:vAlign w:val="center"/>
            <w:hideMark/>
          </w:tcPr>
          <w:p w14:paraId="159A2B37" w14:textId="77777777" w:rsidR="008B4D33" w:rsidRDefault="008B4D33">
            <w:pPr>
              <w:jc w:val="center"/>
              <w:rPr>
                <w:rFonts w:ascii="Calibri" w:hAnsi="Calibri" w:cs="Calibri"/>
                <w:b/>
                <w:bCs/>
                <w:color w:val="000000"/>
                <w:sz w:val="22"/>
                <w:szCs w:val="22"/>
              </w:rPr>
            </w:pPr>
            <w:r>
              <w:rPr>
                <w:rFonts w:ascii="Calibri" w:hAnsi="Calibri" w:cs="Calibri"/>
                <w:b/>
                <w:bCs/>
                <w:color w:val="000000"/>
                <w:sz w:val="22"/>
                <w:szCs w:val="22"/>
              </w:rPr>
              <w:t>The Watershed (all)</w:t>
            </w:r>
          </w:p>
        </w:tc>
      </w:tr>
      <w:tr w:rsidR="008B4D33" w14:paraId="7B459351" w14:textId="77777777" w:rsidTr="0056032F">
        <w:trPr>
          <w:trHeight w:val="615"/>
        </w:trPr>
        <w:tc>
          <w:tcPr>
            <w:tcW w:w="1160" w:type="dxa"/>
            <w:tcBorders>
              <w:top w:val="nil"/>
              <w:left w:val="single" w:sz="8" w:space="0" w:color="auto"/>
              <w:bottom w:val="single" w:sz="8" w:space="0" w:color="auto"/>
              <w:right w:val="nil"/>
            </w:tcBorders>
            <w:shd w:val="clear" w:color="000000" w:fill="FFFFFF"/>
            <w:vAlign w:val="center"/>
            <w:hideMark/>
          </w:tcPr>
          <w:p w14:paraId="6D9AA406"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 </w:t>
            </w:r>
          </w:p>
        </w:tc>
        <w:tc>
          <w:tcPr>
            <w:tcW w:w="1350" w:type="dxa"/>
            <w:tcBorders>
              <w:top w:val="nil"/>
              <w:left w:val="single" w:sz="8" w:space="0" w:color="auto"/>
              <w:bottom w:val="single" w:sz="8" w:space="0" w:color="auto"/>
              <w:right w:val="single" w:sz="8" w:space="0" w:color="auto"/>
            </w:tcBorders>
            <w:shd w:val="clear" w:color="000000" w:fill="FFFFFF"/>
            <w:vAlign w:val="center"/>
            <w:hideMark/>
          </w:tcPr>
          <w:p w14:paraId="60935F7B" w14:textId="77777777" w:rsidR="008B4D33" w:rsidRDefault="008B4D33">
            <w:pPr>
              <w:jc w:val="center"/>
              <w:rPr>
                <w:rFonts w:ascii="Calibri" w:hAnsi="Calibri" w:cs="Calibri"/>
                <w:b/>
                <w:bCs/>
                <w:color w:val="000000"/>
                <w:sz w:val="22"/>
                <w:szCs w:val="22"/>
              </w:rPr>
            </w:pPr>
            <w:r>
              <w:rPr>
                <w:rFonts w:ascii="Calibri" w:hAnsi="Calibri" w:cs="Calibri"/>
                <w:b/>
                <w:bCs/>
                <w:color w:val="000000"/>
                <w:sz w:val="22"/>
                <w:szCs w:val="22"/>
              </w:rPr>
              <w:t> </w:t>
            </w:r>
          </w:p>
        </w:tc>
        <w:tc>
          <w:tcPr>
            <w:tcW w:w="1133" w:type="dxa"/>
            <w:tcBorders>
              <w:top w:val="nil"/>
              <w:left w:val="nil"/>
              <w:bottom w:val="single" w:sz="8" w:space="0" w:color="auto"/>
              <w:right w:val="dotted" w:sz="4" w:space="0" w:color="auto"/>
            </w:tcBorders>
            <w:shd w:val="clear" w:color="000000" w:fill="FFFFFF"/>
            <w:vAlign w:val="center"/>
            <w:hideMark/>
          </w:tcPr>
          <w:p w14:paraId="10C2E1B4"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Acres</w:t>
            </w:r>
          </w:p>
        </w:tc>
        <w:tc>
          <w:tcPr>
            <w:tcW w:w="1616" w:type="dxa"/>
            <w:tcBorders>
              <w:top w:val="nil"/>
              <w:left w:val="nil"/>
              <w:bottom w:val="single" w:sz="8" w:space="0" w:color="auto"/>
              <w:right w:val="single" w:sz="8" w:space="0" w:color="auto"/>
            </w:tcBorders>
            <w:shd w:val="clear" w:color="000000" w:fill="FFFFFF"/>
            <w:vAlign w:val="center"/>
            <w:hideMark/>
          </w:tcPr>
          <w:p w14:paraId="1F597F13"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 xml:space="preserve">% of </w:t>
            </w:r>
            <w:proofErr w:type="spellStart"/>
            <w:r>
              <w:rPr>
                <w:rFonts w:ascii="Calibri" w:hAnsi="Calibri" w:cs="Calibri"/>
                <w:color w:val="000000"/>
                <w:sz w:val="22"/>
                <w:szCs w:val="22"/>
              </w:rPr>
              <w:t>Creekshed</w:t>
            </w:r>
            <w:proofErr w:type="spellEnd"/>
          </w:p>
        </w:tc>
        <w:tc>
          <w:tcPr>
            <w:tcW w:w="1031" w:type="dxa"/>
            <w:tcBorders>
              <w:top w:val="nil"/>
              <w:left w:val="nil"/>
              <w:bottom w:val="single" w:sz="8" w:space="0" w:color="auto"/>
              <w:right w:val="nil"/>
            </w:tcBorders>
            <w:shd w:val="clear" w:color="000000" w:fill="FFFFFF"/>
            <w:vAlign w:val="center"/>
            <w:hideMark/>
          </w:tcPr>
          <w:p w14:paraId="476CB6B9"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Acres</w:t>
            </w:r>
          </w:p>
        </w:tc>
        <w:tc>
          <w:tcPr>
            <w:tcW w:w="1620" w:type="dxa"/>
            <w:tcBorders>
              <w:top w:val="nil"/>
              <w:left w:val="dotted" w:sz="4" w:space="0" w:color="auto"/>
              <w:bottom w:val="single" w:sz="8" w:space="0" w:color="auto"/>
              <w:right w:val="single" w:sz="8" w:space="0" w:color="auto"/>
            </w:tcBorders>
            <w:shd w:val="clear" w:color="000000" w:fill="FFFFFF"/>
            <w:vAlign w:val="center"/>
            <w:hideMark/>
          </w:tcPr>
          <w:p w14:paraId="30AAA13D"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 xml:space="preserve">% of </w:t>
            </w:r>
            <w:proofErr w:type="spellStart"/>
            <w:r>
              <w:rPr>
                <w:rFonts w:ascii="Calibri" w:hAnsi="Calibri" w:cs="Calibri"/>
                <w:color w:val="000000"/>
                <w:sz w:val="22"/>
                <w:szCs w:val="22"/>
              </w:rPr>
              <w:t>Creekshed</w:t>
            </w:r>
            <w:proofErr w:type="spellEnd"/>
          </w:p>
        </w:tc>
        <w:tc>
          <w:tcPr>
            <w:tcW w:w="1440" w:type="dxa"/>
            <w:tcBorders>
              <w:top w:val="nil"/>
              <w:left w:val="nil"/>
              <w:bottom w:val="single" w:sz="8" w:space="0" w:color="auto"/>
              <w:right w:val="nil"/>
            </w:tcBorders>
            <w:shd w:val="clear" w:color="000000" w:fill="FFFFFF"/>
            <w:vAlign w:val="center"/>
            <w:hideMark/>
          </w:tcPr>
          <w:p w14:paraId="1CF86652"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Acres</w:t>
            </w:r>
          </w:p>
        </w:tc>
        <w:tc>
          <w:tcPr>
            <w:tcW w:w="1170" w:type="dxa"/>
            <w:tcBorders>
              <w:top w:val="nil"/>
              <w:left w:val="dotted" w:sz="4" w:space="0" w:color="auto"/>
              <w:bottom w:val="single" w:sz="8" w:space="0" w:color="auto"/>
              <w:right w:val="single" w:sz="8" w:space="0" w:color="auto"/>
            </w:tcBorders>
            <w:shd w:val="clear" w:color="000000" w:fill="FFFFFF"/>
            <w:vAlign w:val="center"/>
            <w:hideMark/>
          </w:tcPr>
          <w:p w14:paraId="007A245F"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 xml:space="preserve">% of </w:t>
            </w:r>
            <w:proofErr w:type="spellStart"/>
            <w:r>
              <w:rPr>
                <w:rFonts w:ascii="Calibri" w:hAnsi="Calibri" w:cs="Calibri"/>
                <w:color w:val="000000"/>
                <w:sz w:val="22"/>
                <w:szCs w:val="22"/>
              </w:rPr>
              <w:t>Creekshed</w:t>
            </w:r>
            <w:proofErr w:type="spellEnd"/>
          </w:p>
        </w:tc>
        <w:tc>
          <w:tcPr>
            <w:tcW w:w="1080" w:type="dxa"/>
            <w:tcBorders>
              <w:top w:val="nil"/>
              <w:left w:val="nil"/>
              <w:bottom w:val="single" w:sz="8" w:space="0" w:color="auto"/>
              <w:right w:val="dotted" w:sz="4" w:space="0" w:color="auto"/>
            </w:tcBorders>
            <w:shd w:val="clear" w:color="000000" w:fill="FFFFFF"/>
            <w:vAlign w:val="center"/>
            <w:hideMark/>
          </w:tcPr>
          <w:p w14:paraId="68D1F60C"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Acres</w:t>
            </w:r>
          </w:p>
        </w:tc>
        <w:tc>
          <w:tcPr>
            <w:tcW w:w="1530" w:type="dxa"/>
            <w:tcBorders>
              <w:top w:val="nil"/>
              <w:left w:val="nil"/>
              <w:bottom w:val="single" w:sz="8" w:space="0" w:color="auto"/>
              <w:right w:val="single" w:sz="8" w:space="0" w:color="auto"/>
            </w:tcBorders>
            <w:shd w:val="clear" w:color="000000" w:fill="FFFFFF"/>
            <w:vAlign w:val="center"/>
            <w:hideMark/>
          </w:tcPr>
          <w:p w14:paraId="59D92AA3"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 xml:space="preserve">% of </w:t>
            </w:r>
            <w:proofErr w:type="spellStart"/>
            <w:r>
              <w:rPr>
                <w:rFonts w:ascii="Calibri" w:hAnsi="Calibri" w:cs="Calibri"/>
                <w:color w:val="000000"/>
                <w:sz w:val="22"/>
                <w:szCs w:val="22"/>
              </w:rPr>
              <w:t>Creekshed</w:t>
            </w:r>
            <w:proofErr w:type="spellEnd"/>
          </w:p>
        </w:tc>
      </w:tr>
      <w:tr w:rsidR="008B4D33" w14:paraId="602A0588" w14:textId="77777777" w:rsidTr="0056032F">
        <w:trPr>
          <w:trHeight w:val="315"/>
        </w:trPr>
        <w:tc>
          <w:tcPr>
            <w:tcW w:w="116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37317E0A"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Wetlands</w:t>
            </w:r>
          </w:p>
        </w:tc>
        <w:tc>
          <w:tcPr>
            <w:tcW w:w="1350" w:type="dxa"/>
            <w:tcBorders>
              <w:top w:val="nil"/>
              <w:left w:val="nil"/>
              <w:bottom w:val="nil"/>
              <w:right w:val="single" w:sz="8" w:space="0" w:color="auto"/>
            </w:tcBorders>
            <w:shd w:val="clear" w:color="000000" w:fill="FFFFFF"/>
            <w:vAlign w:val="center"/>
            <w:hideMark/>
          </w:tcPr>
          <w:p w14:paraId="00BD29F7" w14:textId="77777777" w:rsidR="008B4D33" w:rsidRPr="00687645" w:rsidRDefault="008B4D33">
            <w:pPr>
              <w:jc w:val="center"/>
              <w:rPr>
                <w:rFonts w:ascii="Calibri" w:hAnsi="Calibri" w:cs="Calibri"/>
                <w:i/>
                <w:iCs/>
                <w:color w:val="000000"/>
                <w:sz w:val="22"/>
                <w:szCs w:val="22"/>
              </w:rPr>
            </w:pPr>
            <w:r w:rsidRPr="00687645">
              <w:rPr>
                <w:rFonts w:ascii="Calibri" w:hAnsi="Calibri" w:cs="Calibri"/>
                <w:i/>
                <w:iCs/>
                <w:color w:val="000000"/>
                <w:sz w:val="22"/>
                <w:szCs w:val="22"/>
              </w:rPr>
              <w:t>Total Wetland</w:t>
            </w:r>
          </w:p>
        </w:tc>
        <w:tc>
          <w:tcPr>
            <w:tcW w:w="1133" w:type="dxa"/>
            <w:tcBorders>
              <w:top w:val="nil"/>
              <w:left w:val="nil"/>
              <w:bottom w:val="single" w:sz="8" w:space="0" w:color="auto"/>
              <w:right w:val="dotted" w:sz="4" w:space="0" w:color="auto"/>
            </w:tcBorders>
            <w:shd w:val="clear" w:color="000000" w:fill="FFFFFF"/>
            <w:vAlign w:val="center"/>
            <w:hideMark/>
          </w:tcPr>
          <w:p w14:paraId="73FFA485" w14:textId="77777777" w:rsidR="008B4D33" w:rsidRPr="00687645" w:rsidRDefault="008B4D33">
            <w:pPr>
              <w:jc w:val="center"/>
              <w:rPr>
                <w:rFonts w:ascii="Calibri" w:hAnsi="Calibri" w:cs="Calibri"/>
                <w:i/>
                <w:iCs/>
                <w:color w:val="000000"/>
                <w:sz w:val="22"/>
                <w:szCs w:val="22"/>
              </w:rPr>
            </w:pPr>
            <w:r w:rsidRPr="00687645">
              <w:rPr>
                <w:rFonts w:ascii="Calibri" w:hAnsi="Calibri" w:cs="Calibri"/>
                <w:i/>
                <w:iCs/>
                <w:color w:val="000000"/>
                <w:sz w:val="22"/>
                <w:szCs w:val="22"/>
              </w:rPr>
              <w:t>445.2</w:t>
            </w:r>
          </w:p>
        </w:tc>
        <w:tc>
          <w:tcPr>
            <w:tcW w:w="1616" w:type="dxa"/>
            <w:tcBorders>
              <w:top w:val="nil"/>
              <w:left w:val="nil"/>
              <w:bottom w:val="single" w:sz="8" w:space="0" w:color="auto"/>
              <w:right w:val="single" w:sz="8" w:space="0" w:color="auto"/>
            </w:tcBorders>
            <w:shd w:val="clear" w:color="000000" w:fill="FFFFFF"/>
            <w:vAlign w:val="center"/>
            <w:hideMark/>
          </w:tcPr>
          <w:p w14:paraId="31578093" w14:textId="77777777" w:rsidR="008B4D33" w:rsidRPr="00687645" w:rsidRDefault="008B4D33">
            <w:pPr>
              <w:jc w:val="center"/>
              <w:rPr>
                <w:rFonts w:ascii="Calibri" w:hAnsi="Calibri" w:cs="Calibri"/>
                <w:i/>
                <w:iCs/>
                <w:color w:val="000000"/>
                <w:sz w:val="22"/>
                <w:szCs w:val="22"/>
              </w:rPr>
            </w:pPr>
            <w:r w:rsidRPr="00687645">
              <w:rPr>
                <w:rFonts w:ascii="Calibri" w:hAnsi="Calibri" w:cs="Calibri"/>
                <w:i/>
                <w:iCs/>
                <w:color w:val="000000"/>
                <w:sz w:val="22"/>
                <w:szCs w:val="22"/>
              </w:rPr>
              <w:t>5.6</w:t>
            </w:r>
          </w:p>
        </w:tc>
        <w:tc>
          <w:tcPr>
            <w:tcW w:w="1031" w:type="dxa"/>
            <w:tcBorders>
              <w:top w:val="nil"/>
              <w:left w:val="nil"/>
              <w:bottom w:val="single" w:sz="8" w:space="0" w:color="auto"/>
              <w:right w:val="dotted" w:sz="4" w:space="0" w:color="auto"/>
            </w:tcBorders>
            <w:shd w:val="clear" w:color="000000" w:fill="FFFFFF"/>
            <w:vAlign w:val="center"/>
            <w:hideMark/>
          </w:tcPr>
          <w:p w14:paraId="04EC48F8" w14:textId="77777777" w:rsidR="008B4D33" w:rsidRPr="00687645" w:rsidRDefault="008B4D33">
            <w:pPr>
              <w:jc w:val="center"/>
              <w:rPr>
                <w:rFonts w:ascii="Calibri" w:hAnsi="Calibri" w:cs="Calibri"/>
                <w:i/>
                <w:iCs/>
                <w:color w:val="000000"/>
                <w:sz w:val="22"/>
                <w:szCs w:val="22"/>
              </w:rPr>
            </w:pPr>
            <w:r w:rsidRPr="00687645">
              <w:rPr>
                <w:rFonts w:ascii="Calibri" w:hAnsi="Calibri" w:cs="Calibri"/>
                <w:i/>
                <w:iCs/>
                <w:color w:val="000000"/>
                <w:sz w:val="22"/>
                <w:szCs w:val="22"/>
              </w:rPr>
              <w:t>223.8</w:t>
            </w:r>
          </w:p>
        </w:tc>
        <w:tc>
          <w:tcPr>
            <w:tcW w:w="1620" w:type="dxa"/>
            <w:tcBorders>
              <w:top w:val="nil"/>
              <w:left w:val="nil"/>
              <w:bottom w:val="single" w:sz="8" w:space="0" w:color="auto"/>
              <w:right w:val="single" w:sz="8" w:space="0" w:color="auto"/>
            </w:tcBorders>
            <w:shd w:val="clear" w:color="000000" w:fill="FFFFFF"/>
            <w:vAlign w:val="center"/>
            <w:hideMark/>
          </w:tcPr>
          <w:p w14:paraId="77B80318" w14:textId="77777777" w:rsidR="008B4D33" w:rsidRPr="00687645" w:rsidRDefault="008B4D33">
            <w:pPr>
              <w:jc w:val="center"/>
              <w:rPr>
                <w:rFonts w:ascii="Calibri" w:hAnsi="Calibri" w:cs="Calibri"/>
                <w:i/>
                <w:iCs/>
                <w:color w:val="000000"/>
                <w:sz w:val="22"/>
                <w:szCs w:val="22"/>
              </w:rPr>
            </w:pPr>
            <w:r w:rsidRPr="00687645">
              <w:rPr>
                <w:rFonts w:ascii="Calibri" w:hAnsi="Calibri" w:cs="Calibri"/>
                <w:i/>
                <w:iCs/>
                <w:color w:val="000000"/>
                <w:sz w:val="22"/>
                <w:szCs w:val="22"/>
              </w:rPr>
              <w:t>6.7</w:t>
            </w:r>
          </w:p>
        </w:tc>
        <w:tc>
          <w:tcPr>
            <w:tcW w:w="1440" w:type="dxa"/>
            <w:tcBorders>
              <w:top w:val="nil"/>
              <w:left w:val="nil"/>
              <w:bottom w:val="single" w:sz="8" w:space="0" w:color="auto"/>
              <w:right w:val="dotted" w:sz="4" w:space="0" w:color="auto"/>
            </w:tcBorders>
            <w:shd w:val="clear" w:color="000000" w:fill="FFFFFF"/>
            <w:vAlign w:val="center"/>
            <w:hideMark/>
          </w:tcPr>
          <w:p w14:paraId="695BA7FA" w14:textId="77777777" w:rsidR="008B4D33" w:rsidRPr="00687645" w:rsidRDefault="008B4D33">
            <w:pPr>
              <w:jc w:val="center"/>
              <w:rPr>
                <w:rFonts w:ascii="Calibri" w:hAnsi="Calibri" w:cs="Calibri"/>
                <w:i/>
                <w:iCs/>
                <w:color w:val="000000"/>
                <w:sz w:val="22"/>
                <w:szCs w:val="22"/>
              </w:rPr>
            </w:pPr>
            <w:r w:rsidRPr="00687645">
              <w:rPr>
                <w:rFonts w:ascii="Calibri" w:hAnsi="Calibri" w:cs="Calibri"/>
                <w:i/>
                <w:iCs/>
                <w:color w:val="000000"/>
                <w:sz w:val="22"/>
                <w:szCs w:val="22"/>
              </w:rPr>
              <w:t>881.6</w:t>
            </w:r>
          </w:p>
        </w:tc>
        <w:tc>
          <w:tcPr>
            <w:tcW w:w="1170" w:type="dxa"/>
            <w:tcBorders>
              <w:top w:val="nil"/>
              <w:left w:val="nil"/>
              <w:bottom w:val="single" w:sz="8" w:space="0" w:color="auto"/>
              <w:right w:val="single" w:sz="8" w:space="0" w:color="auto"/>
            </w:tcBorders>
            <w:shd w:val="clear" w:color="000000" w:fill="FFFFFF"/>
            <w:vAlign w:val="center"/>
            <w:hideMark/>
          </w:tcPr>
          <w:p w14:paraId="7C481030" w14:textId="77777777" w:rsidR="008B4D33" w:rsidRPr="00687645" w:rsidRDefault="008B4D33">
            <w:pPr>
              <w:jc w:val="center"/>
              <w:rPr>
                <w:rFonts w:ascii="Calibri" w:hAnsi="Calibri" w:cs="Calibri"/>
                <w:i/>
                <w:iCs/>
                <w:color w:val="000000"/>
                <w:sz w:val="22"/>
                <w:szCs w:val="22"/>
              </w:rPr>
            </w:pPr>
            <w:r w:rsidRPr="00687645">
              <w:rPr>
                <w:rFonts w:ascii="Calibri" w:hAnsi="Calibri" w:cs="Calibri"/>
                <w:i/>
                <w:iCs/>
                <w:color w:val="000000"/>
                <w:sz w:val="22"/>
                <w:szCs w:val="22"/>
              </w:rPr>
              <w:t>8.5</w:t>
            </w:r>
          </w:p>
        </w:tc>
        <w:tc>
          <w:tcPr>
            <w:tcW w:w="1080" w:type="dxa"/>
            <w:tcBorders>
              <w:top w:val="nil"/>
              <w:left w:val="nil"/>
              <w:bottom w:val="single" w:sz="8" w:space="0" w:color="auto"/>
              <w:right w:val="dotted" w:sz="4" w:space="0" w:color="auto"/>
            </w:tcBorders>
            <w:shd w:val="clear" w:color="000000" w:fill="FFFFFF"/>
            <w:vAlign w:val="center"/>
            <w:hideMark/>
          </w:tcPr>
          <w:p w14:paraId="73A1F0A1" w14:textId="77777777" w:rsidR="008B4D33" w:rsidRPr="00687645" w:rsidRDefault="008B4D33">
            <w:pPr>
              <w:jc w:val="center"/>
              <w:rPr>
                <w:rFonts w:ascii="Calibri" w:hAnsi="Calibri" w:cs="Calibri"/>
                <w:i/>
                <w:iCs/>
                <w:color w:val="000000"/>
                <w:sz w:val="22"/>
                <w:szCs w:val="22"/>
              </w:rPr>
            </w:pPr>
            <w:r w:rsidRPr="00687645">
              <w:rPr>
                <w:rFonts w:ascii="Calibri" w:hAnsi="Calibri" w:cs="Calibri"/>
                <w:i/>
                <w:iCs/>
                <w:color w:val="000000"/>
                <w:sz w:val="22"/>
                <w:szCs w:val="22"/>
              </w:rPr>
              <w:t>1550.6</w:t>
            </w:r>
          </w:p>
        </w:tc>
        <w:tc>
          <w:tcPr>
            <w:tcW w:w="1530" w:type="dxa"/>
            <w:tcBorders>
              <w:top w:val="nil"/>
              <w:left w:val="nil"/>
              <w:bottom w:val="single" w:sz="8" w:space="0" w:color="auto"/>
              <w:right w:val="single" w:sz="8" w:space="0" w:color="auto"/>
            </w:tcBorders>
            <w:shd w:val="clear" w:color="000000" w:fill="FFFFFF"/>
            <w:vAlign w:val="center"/>
            <w:hideMark/>
          </w:tcPr>
          <w:p w14:paraId="26993F9C" w14:textId="77777777" w:rsidR="008B4D33" w:rsidRPr="00687645" w:rsidRDefault="008B4D33">
            <w:pPr>
              <w:jc w:val="center"/>
              <w:rPr>
                <w:rFonts w:ascii="Calibri" w:hAnsi="Calibri" w:cs="Calibri"/>
                <w:i/>
                <w:iCs/>
                <w:color w:val="000000"/>
                <w:sz w:val="22"/>
                <w:szCs w:val="22"/>
              </w:rPr>
            </w:pPr>
            <w:r w:rsidRPr="00687645">
              <w:rPr>
                <w:rFonts w:ascii="Calibri" w:hAnsi="Calibri" w:cs="Calibri"/>
                <w:i/>
                <w:iCs/>
                <w:color w:val="000000"/>
                <w:sz w:val="22"/>
                <w:szCs w:val="22"/>
              </w:rPr>
              <w:t>7.2</w:t>
            </w:r>
          </w:p>
        </w:tc>
      </w:tr>
      <w:tr w:rsidR="008B4D33" w14:paraId="011EBAEB" w14:textId="77777777" w:rsidTr="0056032F">
        <w:trPr>
          <w:trHeight w:val="315"/>
        </w:trPr>
        <w:tc>
          <w:tcPr>
            <w:tcW w:w="1160" w:type="dxa"/>
            <w:vMerge/>
            <w:tcBorders>
              <w:top w:val="nil"/>
              <w:left w:val="single" w:sz="8" w:space="0" w:color="auto"/>
              <w:bottom w:val="single" w:sz="8" w:space="0" w:color="000000"/>
              <w:right w:val="single" w:sz="8" w:space="0" w:color="auto"/>
            </w:tcBorders>
            <w:vAlign w:val="center"/>
            <w:hideMark/>
          </w:tcPr>
          <w:p w14:paraId="472325A5" w14:textId="77777777" w:rsidR="008B4D33" w:rsidRDefault="008B4D33">
            <w:pPr>
              <w:rPr>
                <w:rFonts w:ascii="Calibri" w:hAnsi="Calibri" w:cs="Calibri"/>
                <w:color w:val="000000"/>
                <w:sz w:val="22"/>
                <w:szCs w:val="22"/>
              </w:rPr>
            </w:pPr>
          </w:p>
        </w:tc>
        <w:tc>
          <w:tcPr>
            <w:tcW w:w="1350" w:type="dxa"/>
            <w:tcBorders>
              <w:top w:val="nil"/>
              <w:left w:val="nil"/>
              <w:bottom w:val="nil"/>
              <w:right w:val="single" w:sz="8" w:space="0" w:color="auto"/>
            </w:tcBorders>
            <w:shd w:val="clear" w:color="000000" w:fill="FFFFFF"/>
            <w:vAlign w:val="center"/>
            <w:hideMark/>
          </w:tcPr>
          <w:p w14:paraId="2A6812B8"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Aquatic Bed Wetland</w:t>
            </w:r>
          </w:p>
        </w:tc>
        <w:tc>
          <w:tcPr>
            <w:tcW w:w="1133" w:type="dxa"/>
            <w:tcBorders>
              <w:top w:val="nil"/>
              <w:left w:val="nil"/>
              <w:bottom w:val="single" w:sz="8" w:space="0" w:color="auto"/>
              <w:right w:val="dotted" w:sz="4" w:space="0" w:color="auto"/>
            </w:tcBorders>
            <w:shd w:val="clear" w:color="000000" w:fill="FFFFFF"/>
            <w:noWrap/>
            <w:vAlign w:val="center"/>
            <w:hideMark/>
          </w:tcPr>
          <w:p w14:paraId="75A2E645"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0.0</w:t>
            </w:r>
          </w:p>
        </w:tc>
        <w:tc>
          <w:tcPr>
            <w:tcW w:w="1616" w:type="dxa"/>
            <w:tcBorders>
              <w:top w:val="nil"/>
              <w:left w:val="nil"/>
              <w:bottom w:val="single" w:sz="8" w:space="0" w:color="auto"/>
              <w:right w:val="single" w:sz="8" w:space="0" w:color="auto"/>
            </w:tcBorders>
            <w:shd w:val="clear" w:color="000000" w:fill="FFFFFF"/>
            <w:vAlign w:val="center"/>
            <w:hideMark/>
          </w:tcPr>
          <w:p w14:paraId="0568E593"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0.0</w:t>
            </w:r>
          </w:p>
        </w:tc>
        <w:tc>
          <w:tcPr>
            <w:tcW w:w="1031" w:type="dxa"/>
            <w:tcBorders>
              <w:top w:val="nil"/>
              <w:left w:val="nil"/>
              <w:bottom w:val="single" w:sz="8" w:space="0" w:color="auto"/>
              <w:right w:val="dotted" w:sz="4" w:space="0" w:color="auto"/>
            </w:tcBorders>
            <w:shd w:val="clear" w:color="000000" w:fill="FFFFFF"/>
            <w:noWrap/>
            <w:vAlign w:val="center"/>
            <w:hideMark/>
          </w:tcPr>
          <w:p w14:paraId="243BD94C"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18.3</w:t>
            </w:r>
          </w:p>
        </w:tc>
        <w:tc>
          <w:tcPr>
            <w:tcW w:w="1620" w:type="dxa"/>
            <w:tcBorders>
              <w:top w:val="nil"/>
              <w:left w:val="nil"/>
              <w:bottom w:val="single" w:sz="8" w:space="0" w:color="auto"/>
              <w:right w:val="single" w:sz="8" w:space="0" w:color="auto"/>
            </w:tcBorders>
            <w:shd w:val="clear" w:color="000000" w:fill="FFFFFF"/>
            <w:vAlign w:val="center"/>
            <w:hideMark/>
          </w:tcPr>
          <w:p w14:paraId="270C087C"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0.6</w:t>
            </w:r>
          </w:p>
        </w:tc>
        <w:tc>
          <w:tcPr>
            <w:tcW w:w="1440" w:type="dxa"/>
            <w:tcBorders>
              <w:top w:val="nil"/>
              <w:left w:val="nil"/>
              <w:bottom w:val="single" w:sz="8" w:space="0" w:color="auto"/>
              <w:right w:val="dotted" w:sz="4" w:space="0" w:color="auto"/>
            </w:tcBorders>
            <w:shd w:val="clear" w:color="000000" w:fill="FFFFFF"/>
            <w:noWrap/>
            <w:vAlign w:val="center"/>
            <w:hideMark/>
          </w:tcPr>
          <w:p w14:paraId="13AE48A7"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21.4</w:t>
            </w:r>
          </w:p>
        </w:tc>
        <w:tc>
          <w:tcPr>
            <w:tcW w:w="1170" w:type="dxa"/>
            <w:tcBorders>
              <w:top w:val="nil"/>
              <w:left w:val="nil"/>
              <w:bottom w:val="single" w:sz="8" w:space="0" w:color="auto"/>
              <w:right w:val="single" w:sz="8" w:space="0" w:color="auto"/>
            </w:tcBorders>
            <w:shd w:val="clear" w:color="000000" w:fill="FFFFFF"/>
            <w:vAlign w:val="center"/>
            <w:hideMark/>
          </w:tcPr>
          <w:p w14:paraId="2025ECB6"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0.2</w:t>
            </w:r>
          </w:p>
        </w:tc>
        <w:tc>
          <w:tcPr>
            <w:tcW w:w="1080" w:type="dxa"/>
            <w:tcBorders>
              <w:top w:val="nil"/>
              <w:left w:val="nil"/>
              <w:bottom w:val="single" w:sz="8" w:space="0" w:color="auto"/>
              <w:right w:val="dotted" w:sz="4" w:space="0" w:color="auto"/>
            </w:tcBorders>
            <w:shd w:val="clear" w:color="000000" w:fill="FFFFFF"/>
            <w:vAlign w:val="center"/>
            <w:hideMark/>
          </w:tcPr>
          <w:p w14:paraId="69F6C4E0"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39.7</w:t>
            </w:r>
          </w:p>
        </w:tc>
        <w:tc>
          <w:tcPr>
            <w:tcW w:w="1530" w:type="dxa"/>
            <w:tcBorders>
              <w:top w:val="nil"/>
              <w:left w:val="nil"/>
              <w:bottom w:val="single" w:sz="8" w:space="0" w:color="auto"/>
              <w:right w:val="single" w:sz="8" w:space="0" w:color="auto"/>
            </w:tcBorders>
            <w:shd w:val="clear" w:color="000000" w:fill="FFFFFF"/>
            <w:vAlign w:val="center"/>
            <w:hideMark/>
          </w:tcPr>
          <w:p w14:paraId="3AEBBF82"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0.2</w:t>
            </w:r>
          </w:p>
        </w:tc>
      </w:tr>
      <w:tr w:rsidR="008B4D33" w14:paraId="1104D35F" w14:textId="77777777" w:rsidTr="0056032F">
        <w:trPr>
          <w:trHeight w:val="315"/>
        </w:trPr>
        <w:tc>
          <w:tcPr>
            <w:tcW w:w="1160" w:type="dxa"/>
            <w:vMerge/>
            <w:tcBorders>
              <w:top w:val="nil"/>
              <w:left w:val="single" w:sz="8" w:space="0" w:color="auto"/>
              <w:bottom w:val="single" w:sz="8" w:space="0" w:color="000000"/>
              <w:right w:val="single" w:sz="8" w:space="0" w:color="auto"/>
            </w:tcBorders>
            <w:vAlign w:val="center"/>
            <w:hideMark/>
          </w:tcPr>
          <w:p w14:paraId="12F570F0" w14:textId="77777777" w:rsidR="008B4D33" w:rsidRDefault="008B4D33">
            <w:pPr>
              <w:rPr>
                <w:rFonts w:ascii="Calibri" w:hAnsi="Calibri" w:cs="Calibri"/>
                <w:color w:val="000000"/>
                <w:sz w:val="22"/>
                <w:szCs w:val="22"/>
              </w:rPr>
            </w:pPr>
          </w:p>
        </w:tc>
        <w:tc>
          <w:tcPr>
            <w:tcW w:w="1350" w:type="dxa"/>
            <w:tcBorders>
              <w:top w:val="nil"/>
              <w:left w:val="nil"/>
              <w:bottom w:val="nil"/>
              <w:right w:val="single" w:sz="8" w:space="0" w:color="auto"/>
            </w:tcBorders>
            <w:shd w:val="clear" w:color="000000" w:fill="FFFFFF"/>
            <w:vAlign w:val="center"/>
            <w:hideMark/>
          </w:tcPr>
          <w:p w14:paraId="6CFA5711"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Emergent Wetland</w:t>
            </w:r>
          </w:p>
        </w:tc>
        <w:tc>
          <w:tcPr>
            <w:tcW w:w="1133" w:type="dxa"/>
            <w:tcBorders>
              <w:top w:val="nil"/>
              <w:left w:val="nil"/>
              <w:bottom w:val="single" w:sz="8" w:space="0" w:color="auto"/>
              <w:right w:val="dotted" w:sz="4" w:space="0" w:color="auto"/>
            </w:tcBorders>
            <w:shd w:val="clear" w:color="000000" w:fill="FFFFFF"/>
            <w:noWrap/>
            <w:vAlign w:val="center"/>
            <w:hideMark/>
          </w:tcPr>
          <w:p w14:paraId="5AEB0F23"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0.0</w:t>
            </w:r>
          </w:p>
        </w:tc>
        <w:tc>
          <w:tcPr>
            <w:tcW w:w="1616" w:type="dxa"/>
            <w:tcBorders>
              <w:top w:val="nil"/>
              <w:left w:val="nil"/>
              <w:bottom w:val="single" w:sz="8" w:space="0" w:color="auto"/>
              <w:right w:val="single" w:sz="8" w:space="0" w:color="auto"/>
            </w:tcBorders>
            <w:shd w:val="clear" w:color="000000" w:fill="FFFFFF"/>
            <w:vAlign w:val="center"/>
            <w:hideMark/>
          </w:tcPr>
          <w:p w14:paraId="06B09FCA"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0.0</w:t>
            </w:r>
          </w:p>
        </w:tc>
        <w:tc>
          <w:tcPr>
            <w:tcW w:w="1031" w:type="dxa"/>
            <w:tcBorders>
              <w:top w:val="nil"/>
              <w:left w:val="nil"/>
              <w:bottom w:val="single" w:sz="8" w:space="0" w:color="auto"/>
              <w:right w:val="dotted" w:sz="4" w:space="0" w:color="auto"/>
            </w:tcBorders>
            <w:shd w:val="clear" w:color="000000" w:fill="FFFFFF"/>
            <w:noWrap/>
            <w:vAlign w:val="center"/>
            <w:hideMark/>
          </w:tcPr>
          <w:p w14:paraId="40EEB557"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43.5</w:t>
            </w:r>
          </w:p>
        </w:tc>
        <w:tc>
          <w:tcPr>
            <w:tcW w:w="1620" w:type="dxa"/>
            <w:tcBorders>
              <w:top w:val="nil"/>
              <w:left w:val="nil"/>
              <w:bottom w:val="single" w:sz="8" w:space="0" w:color="auto"/>
              <w:right w:val="single" w:sz="8" w:space="0" w:color="auto"/>
            </w:tcBorders>
            <w:shd w:val="clear" w:color="000000" w:fill="FFFFFF"/>
            <w:vAlign w:val="center"/>
            <w:hideMark/>
          </w:tcPr>
          <w:p w14:paraId="20AFA3D9"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1.3</w:t>
            </w:r>
          </w:p>
        </w:tc>
        <w:tc>
          <w:tcPr>
            <w:tcW w:w="1440" w:type="dxa"/>
            <w:tcBorders>
              <w:top w:val="nil"/>
              <w:left w:val="nil"/>
              <w:bottom w:val="single" w:sz="8" w:space="0" w:color="auto"/>
              <w:right w:val="dotted" w:sz="4" w:space="0" w:color="auto"/>
            </w:tcBorders>
            <w:shd w:val="clear" w:color="000000" w:fill="FFFFFF"/>
            <w:noWrap/>
            <w:vAlign w:val="center"/>
            <w:hideMark/>
          </w:tcPr>
          <w:p w14:paraId="0D2D7C20"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9.5</w:t>
            </w:r>
          </w:p>
        </w:tc>
        <w:tc>
          <w:tcPr>
            <w:tcW w:w="1170" w:type="dxa"/>
            <w:tcBorders>
              <w:top w:val="nil"/>
              <w:left w:val="nil"/>
              <w:bottom w:val="single" w:sz="8" w:space="0" w:color="auto"/>
              <w:right w:val="single" w:sz="8" w:space="0" w:color="auto"/>
            </w:tcBorders>
            <w:shd w:val="clear" w:color="000000" w:fill="FFFFFF"/>
            <w:vAlign w:val="center"/>
            <w:hideMark/>
          </w:tcPr>
          <w:p w14:paraId="24FF8542"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0.1</w:t>
            </w:r>
          </w:p>
        </w:tc>
        <w:tc>
          <w:tcPr>
            <w:tcW w:w="1080" w:type="dxa"/>
            <w:tcBorders>
              <w:top w:val="nil"/>
              <w:left w:val="nil"/>
              <w:bottom w:val="single" w:sz="8" w:space="0" w:color="auto"/>
              <w:right w:val="dotted" w:sz="4" w:space="0" w:color="auto"/>
            </w:tcBorders>
            <w:shd w:val="clear" w:color="000000" w:fill="FFFFFF"/>
            <w:vAlign w:val="center"/>
            <w:hideMark/>
          </w:tcPr>
          <w:p w14:paraId="79A80034"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53.0</w:t>
            </w:r>
          </w:p>
        </w:tc>
        <w:tc>
          <w:tcPr>
            <w:tcW w:w="1530" w:type="dxa"/>
            <w:tcBorders>
              <w:top w:val="nil"/>
              <w:left w:val="nil"/>
              <w:bottom w:val="single" w:sz="8" w:space="0" w:color="auto"/>
              <w:right w:val="single" w:sz="8" w:space="0" w:color="auto"/>
            </w:tcBorders>
            <w:shd w:val="clear" w:color="000000" w:fill="FFFFFF"/>
            <w:vAlign w:val="center"/>
            <w:hideMark/>
          </w:tcPr>
          <w:p w14:paraId="3D1CB2D1"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0.2</w:t>
            </w:r>
          </w:p>
        </w:tc>
      </w:tr>
      <w:tr w:rsidR="008B4D33" w14:paraId="7EA333C2" w14:textId="77777777" w:rsidTr="0056032F">
        <w:trPr>
          <w:trHeight w:val="315"/>
        </w:trPr>
        <w:tc>
          <w:tcPr>
            <w:tcW w:w="1160" w:type="dxa"/>
            <w:vMerge/>
            <w:tcBorders>
              <w:top w:val="nil"/>
              <w:left w:val="single" w:sz="8" w:space="0" w:color="auto"/>
              <w:bottom w:val="single" w:sz="8" w:space="0" w:color="000000"/>
              <w:right w:val="single" w:sz="8" w:space="0" w:color="auto"/>
            </w:tcBorders>
            <w:vAlign w:val="center"/>
            <w:hideMark/>
          </w:tcPr>
          <w:p w14:paraId="012D9604" w14:textId="77777777" w:rsidR="008B4D33" w:rsidRDefault="008B4D33">
            <w:pPr>
              <w:rPr>
                <w:rFonts w:ascii="Calibri" w:hAnsi="Calibri" w:cs="Calibri"/>
                <w:color w:val="000000"/>
                <w:sz w:val="22"/>
                <w:szCs w:val="22"/>
              </w:rPr>
            </w:pPr>
          </w:p>
        </w:tc>
        <w:tc>
          <w:tcPr>
            <w:tcW w:w="1350" w:type="dxa"/>
            <w:tcBorders>
              <w:top w:val="nil"/>
              <w:left w:val="single" w:sz="4" w:space="0" w:color="auto"/>
              <w:bottom w:val="nil"/>
              <w:right w:val="single" w:sz="8" w:space="0" w:color="auto"/>
            </w:tcBorders>
            <w:shd w:val="clear" w:color="000000" w:fill="FFFFFF"/>
            <w:noWrap/>
            <w:vAlign w:val="center"/>
            <w:hideMark/>
          </w:tcPr>
          <w:p w14:paraId="4CE0DB43"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Flats</w:t>
            </w:r>
          </w:p>
        </w:tc>
        <w:tc>
          <w:tcPr>
            <w:tcW w:w="1133" w:type="dxa"/>
            <w:tcBorders>
              <w:top w:val="nil"/>
              <w:left w:val="nil"/>
              <w:bottom w:val="single" w:sz="8" w:space="0" w:color="auto"/>
              <w:right w:val="dotted" w:sz="4" w:space="0" w:color="auto"/>
            </w:tcBorders>
            <w:shd w:val="clear" w:color="000000" w:fill="FFFFFF"/>
            <w:noWrap/>
            <w:vAlign w:val="center"/>
            <w:hideMark/>
          </w:tcPr>
          <w:p w14:paraId="694881F0"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0.0</w:t>
            </w:r>
          </w:p>
        </w:tc>
        <w:tc>
          <w:tcPr>
            <w:tcW w:w="1616" w:type="dxa"/>
            <w:tcBorders>
              <w:top w:val="nil"/>
              <w:left w:val="nil"/>
              <w:bottom w:val="single" w:sz="8" w:space="0" w:color="auto"/>
              <w:right w:val="single" w:sz="8" w:space="0" w:color="auto"/>
            </w:tcBorders>
            <w:shd w:val="clear" w:color="000000" w:fill="FFFFFF"/>
            <w:vAlign w:val="center"/>
            <w:hideMark/>
          </w:tcPr>
          <w:p w14:paraId="1DADCF5F"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0.0</w:t>
            </w:r>
          </w:p>
        </w:tc>
        <w:tc>
          <w:tcPr>
            <w:tcW w:w="1031" w:type="dxa"/>
            <w:tcBorders>
              <w:top w:val="nil"/>
              <w:left w:val="nil"/>
              <w:bottom w:val="single" w:sz="8" w:space="0" w:color="auto"/>
              <w:right w:val="dotted" w:sz="4" w:space="0" w:color="auto"/>
            </w:tcBorders>
            <w:shd w:val="clear" w:color="000000" w:fill="FFFFFF"/>
            <w:noWrap/>
            <w:vAlign w:val="center"/>
            <w:hideMark/>
          </w:tcPr>
          <w:p w14:paraId="2FF93AAB"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0.0</w:t>
            </w:r>
          </w:p>
        </w:tc>
        <w:tc>
          <w:tcPr>
            <w:tcW w:w="1620" w:type="dxa"/>
            <w:tcBorders>
              <w:top w:val="nil"/>
              <w:left w:val="nil"/>
              <w:bottom w:val="single" w:sz="8" w:space="0" w:color="auto"/>
              <w:right w:val="single" w:sz="8" w:space="0" w:color="auto"/>
            </w:tcBorders>
            <w:shd w:val="clear" w:color="000000" w:fill="FFFFFF"/>
            <w:vAlign w:val="center"/>
            <w:hideMark/>
          </w:tcPr>
          <w:p w14:paraId="074C6CB8"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0.0</w:t>
            </w:r>
          </w:p>
        </w:tc>
        <w:tc>
          <w:tcPr>
            <w:tcW w:w="1440" w:type="dxa"/>
            <w:tcBorders>
              <w:top w:val="nil"/>
              <w:left w:val="nil"/>
              <w:bottom w:val="single" w:sz="8" w:space="0" w:color="auto"/>
              <w:right w:val="dotted" w:sz="4" w:space="0" w:color="auto"/>
            </w:tcBorders>
            <w:shd w:val="clear" w:color="000000" w:fill="FFFFFF"/>
            <w:noWrap/>
            <w:vAlign w:val="center"/>
            <w:hideMark/>
          </w:tcPr>
          <w:p w14:paraId="19F383F8"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0.7</w:t>
            </w:r>
          </w:p>
        </w:tc>
        <w:tc>
          <w:tcPr>
            <w:tcW w:w="1170" w:type="dxa"/>
            <w:tcBorders>
              <w:top w:val="nil"/>
              <w:left w:val="nil"/>
              <w:bottom w:val="single" w:sz="8" w:space="0" w:color="auto"/>
              <w:right w:val="single" w:sz="8" w:space="0" w:color="auto"/>
            </w:tcBorders>
            <w:shd w:val="clear" w:color="000000" w:fill="FFFFFF"/>
            <w:vAlign w:val="center"/>
            <w:hideMark/>
          </w:tcPr>
          <w:p w14:paraId="2E1A929E"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0.0</w:t>
            </w:r>
          </w:p>
        </w:tc>
        <w:tc>
          <w:tcPr>
            <w:tcW w:w="1080" w:type="dxa"/>
            <w:tcBorders>
              <w:top w:val="nil"/>
              <w:left w:val="nil"/>
              <w:bottom w:val="single" w:sz="8" w:space="0" w:color="auto"/>
              <w:right w:val="dotted" w:sz="4" w:space="0" w:color="auto"/>
            </w:tcBorders>
            <w:shd w:val="clear" w:color="000000" w:fill="FFFFFF"/>
            <w:vAlign w:val="center"/>
            <w:hideMark/>
          </w:tcPr>
          <w:p w14:paraId="4C7782DA"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0.7</w:t>
            </w:r>
          </w:p>
        </w:tc>
        <w:tc>
          <w:tcPr>
            <w:tcW w:w="1530" w:type="dxa"/>
            <w:tcBorders>
              <w:top w:val="nil"/>
              <w:left w:val="nil"/>
              <w:bottom w:val="single" w:sz="8" w:space="0" w:color="auto"/>
              <w:right w:val="single" w:sz="8" w:space="0" w:color="auto"/>
            </w:tcBorders>
            <w:shd w:val="clear" w:color="000000" w:fill="FFFFFF"/>
            <w:vAlign w:val="center"/>
            <w:hideMark/>
          </w:tcPr>
          <w:p w14:paraId="1FE3BBAA"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0.0</w:t>
            </w:r>
          </w:p>
        </w:tc>
      </w:tr>
      <w:tr w:rsidR="008B4D33" w14:paraId="664FD614" w14:textId="77777777" w:rsidTr="0056032F">
        <w:trPr>
          <w:trHeight w:val="315"/>
        </w:trPr>
        <w:tc>
          <w:tcPr>
            <w:tcW w:w="1160" w:type="dxa"/>
            <w:vMerge/>
            <w:tcBorders>
              <w:top w:val="nil"/>
              <w:left w:val="single" w:sz="8" w:space="0" w:color="auto"/>
              <w:bottom w:val="single" w:sz="8" w:space="0" w:color="000000"/>
              <w:right w:val="single" w:sz="8" w:space="0" w:color="auto"/>
            </w:tcBorders>
            <w:vAlign w:val="center"/>
            <w:hideMark/>
          </w:tcPr>
          <w:p w14:paraId="560592DC" w14:textId="77777777" w:rsidR="008B4D33" w:rsidRDefault="008B4D33">
            <w:pPr>
              <w:rPr>
                <w:rFonts w:ascii="Calibri" w:hAnsi="Calibri" w:cs="Calibri"/>
                <w:color w:val="000000"/>
                <w:sz w:val="22"/>
                <w:szCs w:val="22"/>
              </w:rPr>
            </w:pPr>
          </w:p>
        </w:tc>
        <w:tc>
          <w:tcPr>
            <w:tcW w:w="1350" w:type="dxa"/>
            <w:tcBorders>
              <w:top w:val="nil"/>
              <w:left w:val="nil"/>
              <w:bottom w:val="nil"/>
              <w:right w:val="single" w:sz="8" w:space="0" w:color="auto"/>
            </w:tcBorders>
            <w:shd w:val="clear" w:color="000000" w:fill="FFFFFF"/>
            <w:vAlign w:val="center"/>
            <w:hideMark/>
          </w:tcPr>
          <w:p w14:paraId="2EDFE5A7"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Floodplain</w:t>
            </w:r>
          </w:p>
        </w:tc>
        <w:tc>
          <w:tcPr>
            <w:tcW w:w="1133" w:type="dxa"/>
            <w:tcBorders>
              <w:top w:val="nil"/>
              <w:left w:val="nil"/>
              <w:bottom w:val="single" w:sz="8" w:space="0" w:color="auto"/>
              <w:right w:val="dotted" w:sz="4" w:space="0" w:color="auto"/>
            </w:tcBorders>
            <w:shd w:val="clear" w:color="000000" w:fill="FFFFFF"/>
            <w:noWrap/>
            <w:vAlign w:val="center"/>
            <w:hideMark/>
          </w:tcPr>
          <w:p w14:paraId="5E7A0870"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202.2</w:t>
            </w:r>
          </w:p>
        </w:tc>
        <w:tc>
          <w:tcPr>
            <w:tcW w:w="1616" w:type="dxa"/>
            <w:tcBorders>
              <w:top w:val="nil"/>
              <w:left w:val="nil"/>
              <w:bottom w:val="single" w:sz="8" w:space="0" w:color="auto"/>
              <w:right w:val="single" w:sz="8" w:space="0" w:color="auto"/>
            </w:tcBorders>
            <w:shd w:val="clear" w:color="000000" w:fill="FFFFFF"/>
            <w:vAlign w:val="center"/>
            <w:hideMark/>
          </w:tcPr>
          <w:p w14:paraId="0AA2A98D"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2.5</w:t>
            </w:r>
          </w:p>
        </w:tc>
        <w:tc>
          <w:tcPr>
            <w:tcW w:w="1031" w:type="dxa"/>
            <w:tcBorders>
              <w:top w:val="nil"/>
              <w:left w:val="nil"/>
              <w:bottom w:val="single" w:sz="8" w:space="0" w:color="auto"/>
              <w:right w:val="dotted" w:sz="4" w:space="0" w:color="auto"/>
            </w:tcBorders>
            <w:shd w:val="clear" w:color="000000" w:fill="FFFFFF"/>
            <w:noWrap/>
            <w:vAlign w:val="center"/>
            <w:hideMark/>
          </w:tcPr>
          <w:p w14:paraId="1D4F392D"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7.0</w:t>
            </w:r>
          </w:p>
        </w:tc>
        <w:tc>
          <w:tcPr>
            <w:tcW w:w="1620" w:type="dxa"/>
            <w:tcBorders>
              <w:top w:val="nil"/>
              <w:left w:val="nil"/>
              <w:bottom w:val="single" w:sz="8" w:space="0" w:color="auto"/>
              <w:right w:val="single" w:sz="8" w:space="0" w:color="auto"/>
            </w:tcBorders>
            <w:shd w:val="clear" w:color="000000" w:fill="FFFFFF"/>
            <w:vAlign w:val="center"/>
            <w:hideMark/>
          </w:tcPr>
          <w:p w14:paraId="03513A9C"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0.2</w:t>
            </w:r>
          </w:p>
        </w:tc>
        <w:tc>
          <w:tcPr>
            <w:tcW w:w="1440" w:type="dxa"/>
            <w:tcBorders>
              <w:top w:val="nil"/>
              <w:left w:val="nil"/>
              <w:bottom w:val="single" w:sz="8" w:space="0" w:color="auto"/>
              <w:right w:val="dotted" w:sz="4" w:space="0" w:color="auto"/>
            </w:tcBorders>
            <w:shd w:val="clear" w:color="000000" w:fill="FFFFFF"/>
            <w:noWrap/>
            <w:vAlign w:val="center"/>
            <w:hideMark/>
          </w:tcPr>
          <w:p w14:paraId="5E421C2E"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181.0</w:t>
            </w:r>
          </w:p>
        </w:tc>
        <w:tc>
          <w:tcPr>
            <w:tcW w:w="1170" w:type="dxa"/>
            <w:tcBorders>
              <w:top w:val="nil"/>
              <w:left w:val="nil"/>
              <w:bottom w:val="single" w:sz="8" w:space="0" w:color="auto"/>
              <w:right w:val="single" w:sz="8" w:space="0" w:color="auto"/>
            </w:tcBorders>
            <w:shd w:val="clear" w:color="000000" w:fill="FFFFFF"/>
            <w:vAlign w:val="center"/>
            <w:hideMark/>
          </w:tcPr>
          <w:p w14:paraId="294002AE"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1.8</w:t>
            </w:r>
          </w:p>
        </w:tc>
        <w:tc>
          <w:tcPr>
            <w:tcW w:w="1080" w:type="dxa"/>
            <w:tcBorders>
              <w:top w:val="nil"/>
              <w:left w:val="nil"/>
              <w:bottom w:val="single" w:sz="8" w:space="0" w:color="auto"/>
              <w:right w:val="dotted" w:sz="4" w:space="0" w:color="auto"/>
            </w:tcBorders>
            <w:shd w:val="clear" w:color="000000" w:fill="FFFFFF"/>
            <w:vAlign w:val="center"/>
            <w:hideMark/>
          </w:tcPr>
          <w:p w14:paraId="17B3A242"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390.2</w:t>
            </w:r>
          </w:p>
        </w:tc>
        <w:tc>
          <w:tcPr>
            <w:tcW w:w="1530" w:type="dxa"/>
            <w:tcBorders>
              <w:top w:val="nil"/>
              <w:left w:val="nil"/>
              <w:bottom w:val="single" w:sz="8" w:space="0" w:color="auto"/>
              <w:right w:val="single" w:sz="8" w:space="0" w:color="auto"/>
            </w:tcBorders>
            <w:shd w:val="clear" w:color="000000" w:fill="FFFFFF"/>
            <w:vAlign w:val="center"/>
            <w:hideMark/>
          </w:tcPr>
          <w:p w14:paraId="616477AB"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1.8</w:t>
            </w:r>
          </w:p>
        </w:tc>
      </w:tr>
      <w:tr w:rsidR="008B4D33" w14:paraId="6418D37E" w14:textId="77777777" w:rsidTr="0056032F">
        <w:trPr>
          <w:trHeight w:val="315"/>
        </w:trPr>
        <w:tc>
          <w:tcPr>
            <w:tcW w:w="1160" w:type="dxa"/>
            <w:vMerge/>
            <w:tcBorders>
              <w:top w:val="nil"/>
              <w:left w:val="single" w:sz="8" w:space="0" w:color="auto"/>
              <w:bottom w:val="single" w:sz="8" w:space="0" w:color="000000"/>
              <w:right w:val="single" w:sz="8" w:space="0" w:color="auto"/>
            </w:tcBorders>
            <w:vAlign w:val="center"/>
            <w:hideMark/>
          </w:tcPr>
          <w:p w14:paraId="1FD499E1" w14:textId="77777777" w:rsidR="008B4D33" w:rsidRDefault="008B4D33">
            <w:pPr>
              <w:rPr>
                <w:rFonts w:ascii="Calibri" w:hAnsi="Calibri" w:cs="Calibri"/>
                <w:color w:val="000000"/>
                <w:sz w:val="22"/>
                <w:szCs w:val="22"/>
              </w:rPr>
            </w:pPr>
          </w:p>
        </w:tc>
        <w:tc>
          <w:tcPr>
            <w:tcW w:w="1350" w:type="dxa"/>
            <w:tcBorders>
              <w:top w:val="nil"/>
              <w:left w:val="nil"/>
              <w:bottom w:val="nil"/>
              <w:right w:val="single" w:sz="8" w:space="0" w:color="auto"/>
            </w:tcBorders>
            <w:shd w:val="clear" w:color="000000" w:fill="FFFFFF"/>
            <w:vAlign w:val="center"/>
            <w:hideMark/>
          </w:tcPr>
          <w:p w14:paraId="3A2013B2"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Lowland Conifer</w:t>
            </w:r>
          </w:p>
        </w:tc>
        <w:tc>
          <w:tcPr>
            <w:tcW w:w="1133" w:type="dxa"/>
            <w:tcBorders>
              <w:top w:val="nil"/>
              <w:left w:val="nil"/>
              <w:bottom w:val="single" w:sz="8" w:space="0" w:color="auto"/>
              <w:right w:val="dotted" w:sz="4" w:space="0" w:color="auto"/>
            </w:tcBorders>
            <w:shd w:val="clear" w:color="000000" w:fill="FFFFFF"/>
            <w:noWrap/>
            <w:vAlign w:val="center"/>
            <w:hideMark/>
          </w:tcPr>
          <w:p w14:paraId="7BA06E06"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0.0</w:t>
            </w:r>
          </w:p>
        </w:tc>
        <w:tc>
          <w:tcPr>
            <w:tcW w:w="1616" w:type="dxa"/>
            <w:tcBorders>
              <w:top w:val="nil"/>
              <w:left w:val="nil"/>
              <w:bottom w:val="single" w:sz="8" w:space="0" w:color="auto"/>
              <w:right w:val="single" w:sz="8" w:space="0" w:color="auto"/>
            </w:tcBorders>
            <w:shd w:val="clear" w:color="000000" w:fill="FFFFFF"/>
            <w:vAlign w:val="center"/>
            <w:hideMark/>
          </w:tcPr>
          <w:p w14:paraId="54A9DEA1"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0.0</w:t>
            </w:r>
          </w:p>
        </w:tc>
        <w:tc>
          <w:tcPr>
            <w:tcW w:w="1031" w:type="dxa"/>
            <w:tcBorders>
              <w:top w:val="nil"/>
              <w:left w:val="nil"/>
              <w:bottom w:val="single" w:sz="8" w:space="0" w:color="auto"/>
              <w:right w:val="dotted" w:sz="4" w:space="0" w:color="auto"/>
            </w:tcBorders>
            <w:shd w:val="clear" w:color="000000" w:fill="FFFFFF"/>
            <w:noWrap/>
            <w:vAlign w:val="center"/>
            <w:hideMark/>
          </w:tcPr>
          <w:p w14:paraId="13CEA979"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0.0</w:t>
            </w:r>
          </w:p>
        </w:tc>
        <w:tc>
          <w:tcPr>
            <w:tcW w:w="1620" w:type="dxa"/>
            <w:tcBorders>
              <w:top w:val="nil"/>
              <w:left w:val="nil"/>
              <w:bottom w:val="single" w:sz="8" w:space="0" w:color="auto"/>
              <w:right w:val="single" w:sz="8" w:space="0" w:color="auto"/>
            </w:tcBorders>
            <w:shd w:val="clear" w:color="000000" w:fill="FFFFFF"/>
            <w:vAlign w:val="center"/>
            <w:hideMark/>
          </w:tcPr>
          <w:p w14:paraId="7A483868"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0.0</w:t>
            </w:r>
          </w:p>
        </w:tc>
        <w:tc>
          <w:tcPr>
            <w:tcW w:w="1440" w:type="dxa"/>
            <w:tcBorders>
              <w:top w:val="nil"/>
              <w:left w:val="nil"/>
              <w:bottom w:val="single" w:sz="8" w:space="0" w:color="auto"/>
              <w:right w:val="dotted" w:sz="4" w:space="0" w:color="auto"/>
            </w:tcBorders>
            <w:shd w:val="clear" w:color="000000" w:fill="FFFFFF"/>
            <w:noWrap/>
            <w:vAlign w:val="center"/>
            <w:hideMark/>
          </w:tcPr>
          <w:p w14:paraId="3FA8E97D"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0.0</w:t>
            </w:r>
          </w:p>
        </w:tc>
        <w:tc>
          <w:tcPr>
            <w:tcW w:w="1170" w:type="dxa"/>
            <w:tcBorders>
              <w:top w:val="nil"/>
              <w:left w:val="nil"/>
              <w:bottom w:val="single" w:sz="8" w:space="0" w:color="auto"/>
              <w:right w:val="single" w:sz="8" w:space="0" w:color="auto"/>
            </w:tcBorders>
            <w:shd w:val="clear" w:color="000000" w:fill="FFFFFF"/>
            <w:vAlign w:val="center"/>
            <w:hideMark/>
          </w:tcPr>
          <w:p w14:paraId="4E12360D"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0.0</w:t>
            </w:r>
          </w:p>
        </w:tc>
        <w:tc>
          <w:tcPr>
            <w:tcW w:w="1080" w:type="dxa"/>
            <w:tcBorders>
              <w:top w:val="nil"/>
              <w:left w:val="nil"/>
              <w:bottom w:val="single" w:sz="8" w:space="0" w:color="auto"/>
              <w:right w:val="dotted" w:sz="4" w:space="0" w:color="auto"/>
            </w:tcBorders>
            <w:shd w:val="clear" w:color="000000" w:fill="FFFFFF"/>
            <w:vAlign w:val="center"/>
            <w:hideMark/>
          </w:tcPr>
          <w:p w14:paraId="2BB0822A"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0.0</w:t>
            </w:r>
          </w:p>
        </w:tc>
        <w:tc>
          <w:tcPr>
            <w:tcW w:w="1530" w:type="dxa"/>
            <w:tcBorders>
              <w:top w:val="nil"/>
              <w:left w:val="nil"/>
              <w:bottom w:val="single" w:sz="8" w:space="0" w:color="auto"/>
              <w:right w:val="single" w:sz="8" w:space="0" w:color="auto"/>
            </w:tcBorders>
            <w:shd w:val="clear" w:color="000000" w:fill="FFFFFF"/>
            <w:vAlign w:val="center"/>
            <w:hideMark/>
          </w:tcPr>
          <w:p w14:paraId="2D7E5F40"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0.0</w:t>
            </w:r>
          </w:p>
        </w:tc>
      </w:tr>
      <w:tr w:rsidR="008B4D33" w14:paraId="577272A9" w14:textId="77777777" w:rsidTr="0056032F">
        <w:trPr>
          <w:trHeight w:val="315"/>
        </w:trPr>
        <w:tc>
          <w:tcPr>
            <w:tcW w:w="1160" w:type="dxa"/>
            <w:vMerge/>
            <w:tcBorders>
              <w:top w:val="nil"/>
              <w:left w:val="single" w:sz="8" w:space="0" w:color="auto"/>
              <w:bottom w:val="single" w:sz="8" w:space="0" w:color="000000"/>
              <w:right w:val="single" w:sz="8" w:space="0" w:color="auto"/>
            </w:tcBorders>
            <w:vAlign w:val="center"/>
            <w:hideMark/>
          </w:tcPr>
          <w:p w14:paraId="27768049" w14:textId="77777777" w:rsidR="008B4D33" w:rsidRDefault="008B4D33">
            <w:pPr>
              <w:rPr>
                <w:rFonts w:ascii="Calibri" w:hAnsi="Calibri" w:cs="Calibri"/>
                <w:color w:val="000000"/>
                <w:sz w:val="22"/>
                <w:szCs w:val="22"/>
              </w:rPr>
            </w:pPr>
          </w:p>
        </w:tc>
        <w:tc>
          <w:tcPr>
            <w:tcW w:w="1350" w:type="dxa"/>
            <w:tcBorders>
              <w:top w:val="nil"/>
              <w:left w:val="nil"/>
              <w:bottom w:val="nil"/>
              <w:right w:val="single" w:sz="8" w:space="0" w:color="auto"/>
            </w:tcBorders>
            <w:shd w:val="clear" w:color="000000" w:fill="FFFFFF"/>
            <w:vAlign w:val="center"/>
            <w:hideMark/>
          </w:tcPr>
          <w:p w14:paraId="08243F7F"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Lowland Hardwoods</w:t>
            </w:r>
          </w:p>
        </w:tc>
        <w:tc>
          <w:tcPr>
            <w:tcW w:w="1133" w:type="dxa"/>
            <w:tcBorders>
              <w:top w:val="nil"/>
              <w:left w:val="nil"/>
              <w:bottom w:val="single" w:sz="8" w:space="0" w:color="auto"/>
              <w:right w:val="dotted" w:sz="4" w:space="0" w:color="auto"/>
            </w:tcBorders>
            <w:shd w:val="clear" w:color="000000" w:fill="FFFFFF"/>
            <w:noWrap/>
            <w:vAlign w:val="center"/>
            <w:hideMark/>
          </w:tcPr>
          <w:p w14:paraId="71A4AFD8"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81.2</w:t>
            </w:r>
          </w:p>
        </w:tc>
        <w:tc>
          <w:tcPr>
            <w:tcW w:w="1616" w:type="dxa"/>
            <w:tcBorders>
              <w:top w:val="nil"/>
              <w:left w:val="nil"/>
              <w:bottom w:val="single" w:sz="8" w:space="0" w:color="auto"/>
              <w:right w:val="single" w:sz="8" w:space="0" w:color="auto"/>
            </w:tcBorders>
            <w:shd w:val="clear" w:color="000000" w:fill="FFFFFF"/>
            <w:vAlign w:val="center"/>
            <w:hideMark/>
          </w:tcPr>
          <w:p w14:paraId="55FAE0F6"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1.0</w:t>
            </w:r>
          </w:p>
        </w:tc>
        <w:tc>
          <w:tcPr>
            <w:tcW w:w="1031" w:type="dxa"/>
            <w:tcBorders>
              <w:top w:val="nil"/>
              <w:left w:val="nil"/>
              <w:bottom w:val="single" w:sz="8" w:space="0" w:color="auto"/>
              <w:right w:val="dotted" w:sz="4" w:space="0" w:color="auto"/>
            </w:tcBorders>
            <w:shd w:val="clear" w:color="000000" w:fill="FFFFFF"/>
            <w:noWrap/>
            <w:vAlign w:val="center"/>
            <w:hideMark/>
          </w:tcPr>
          <w:p w14:paraId="14952200"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55.9</w:t>
            </w:r>
          </w:p>
        </w:tc>
        <w:tc>
          <w:tcPr>
            <w:tcW w:w="1620" w:type="dxa"/>
            <w:tcBorders>
              <w:top w:val="nil"/>
              <w:left w:val="nil"/>
              <w:bottom w:val="single" w:sz="8" w:space="0" w:color="auto"/>
              <w:right w:val="single" w:sz="8" w:space="0" w:color="auto"/>
            </w:tcBorders>
            <w:shd w:val="clear" w:color="000000" w:fill="FFFFFF"/>
            <w:vAlign w:val="center"/>
            <w:hideMark/>
          </w:tcPr>
          <w:p w14:paraId="38460B4E"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1.7</w:t>
            </w:r>
          </w:p>
        </w:tc>
        <w:tc>
          <w:tcPr>
            <w:tcW w:w="1440" w:type="dxa"/>
            <w:tcBorders>
              <w:top w:val="nil"/>
              <w:left w:val="nil"/>
              <w:bottom w:val="single" w:sz="8" w:space="0" w:color="auto"/>
              <w:right w:val="dotted" w:sz="4" w:space="0" w:color="auto"/>
            </w:tcBorders>
            <w:shd w:val="clear" w:color="000000" w:fill="FFFFFF"/>
            <w:noWrap/>
            <w:vAlign w:val="center"/>
            <w:hideMark/>
          </w:tcPr>
          <w:p w14:paraId="722C76BD"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282.4</w:t>
            </w:r>
          </w:p>
        </w:tc>
        <w:tc>
          <w:tcPr>
            <w:tcW w:w="1170" w:type="dxa"/>
            <w:tcBorders>
              <w:top w:val="nil"/>
              <w:left w:val="nil"/>
              <w:bottom w:val="single" w:sz="8" w:space="0" w:color="auto"/>
              <w:right w:val="single" w:sz="8" w:space="0" w:color="auto"/>
            </w:tcBorders>
            <w:shd w:val="clear" w:color="000000" w:fill="FFFFFF"/>
            <w:vAlign w:val="center"/>
            <w:hideMark/>
          </w:tcPr>
          <w:p w14:paraId="2ED434D6"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2.7</w:t>
            </w:r>
          </w:p>
        </w:tc>
        <w:tc>
          <w:tcPr>
            <w:tcW w:w="1080" w:type="dxa"/>
            <w:tcBorders>
              <w:top w:val="nil"/>
              <w:left w:val="nil"/>
              <w:bottom w:val="single" w:sz="8" w:space="0" w:color="auto"/>
              <w:right w:val="dotted" w:sz="4" w:space="0" w:color="auto"/>
            </w:tcBorders>
            <w:shd w:val="clear" w:color="000000" w:fill="FFFFFF"/>
            <w:vAlign w:val="center"/>
            <w:hideMark/>
          </w:tcPr>
          <w:p w14:paraId="1DFBB91B"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419.5</w:t>
            </w:r>
          </w:p>
        </w:tc>
        <w:tc>
          <w:tcPr>
            <w:tcW w:w="1530" w:type="dxa"/>
            <w:tcBorders>
              <w:top w:val="nil"/>
              <w:left w:val="nil"/>
              <w:bottom w:val="single" w:sz="8" w:space="0" w:color="auto"/>
              <w:right w:val="single" w:sz="8" w:space="0" w:color="auto"/>
            </w:tcBorders>
            <w:shd w:val="clear" w:color="000000" w:fill="FFFFFF"/>
            <w:vAlign w:val="center"/>
            <w:hideMark/>
          </w:tcPr>
          <w:p w14:paraId="5CF8FF99"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1.9</w:t>
            </w:r>
          </w:p>
        </w:tc>
      </w:tr>
      <w:tr w:rsidR="008B4D33" w14:paraId="689000DC" w14:textId="77777777" w:rsidTr="0056032F">
        <w:trPr>
          <w:trHeight w:val="315"/>
        </w:trPr>
        <w:tc>
          <w:tcPr>
            <w:tcW w:w="1160" w:type="dxa"/>
            <w:vMerge/>
            <w:tcBorders>
              <w:top w:val="nil"/>
              <w:left w:val="single" w:sz="8" w:space="0" w:color="auto"/>
              <w:bottom w:val="single" w:sz="8" w:space="0" w:color="000000"/>
              <w:right w:val="single" w:sz="8" w:space="0" w:color="auto"/>
            </w:tcBorders>
            <w:vAlign w:val="center"/>
            <w:hideMark/>
          </w:tcPr>
          <w:p w14:paraId="5CA5B4AE" w14:textId="77777777" w:rsidR="008B4D33" w:rsidRDefault="008B4D33">
            <w:pPr>
              <w:rPr>
                <w:rFonts w:ascii="Calibri" w:hAnsi="Calibri" w:cs="Calibri"/>
                <w:color w:val="000000"/>
                <w:sz w:val="22"/>
                <w:szCs w:val="22"/>
              </w:rPr>
            </w:pPr>
          </w:p>
        </w:tc>
        <w:tc>
          <w:tcPr>
            <w:tcW w:w="1350" w:type="dxa"/>
            <w:tcBorders>
              <w:top w:val="nil"/>
              <w:left w:val="nil"/>
              <w:bottom w:val="nil"/>
              <w:right w:val="single" w:sz="8" w:space="0" w:color="auto"/>
            </w:tcBorders>
            <w:shd w:val="clear" w:color="000000" w:fill="FFFFFF"/>
            <w:vAlign w:val="center"/>
            <w:hideMark/>
          </w:tcPr>
          <w:p w14:paraId="5C1157A4"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Mixed Wooded Wetland</w:t>
            </w:r>
          </w:p>
        </w:tc>
        <w:tc>
          <w:tcPr>
            <w:tcW w:w="1133" w:type="dxa"/>
            <w:tcBorders>
              <w:top w:val="nil"/>
              <w:left w:val="nil"/>
              <w:bottom w:val="single" w:sz="8" w:space="0" w:color="auto"/>
              <w:right w:val="dotted" w:sz="4" w:space="0" w:color="auto"/>
            </w:tcBorders>
            <w:shd w:val="clear" w:color="000000" w:fill="FFFFFF"/>
            <w:noWrap/>
            <w:vAlign w:val="center"/>
            <w:hideMark/>
          </w:tcPr>
          <w:p w14:paraId="205C2604"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2.1</w:t>
            </w:r>
          </w:p>
        </w:tc>
        <w:tc>
          <w:tcPr>
            <w:tcW w:w="1616" w:type="dxa"/>
            <w:tcBorders>
              <w:top w:val="nil"/>
              <w:left w:val="nil"/>
              <w:bottom w:val="single" w:sz="8" w:space="0" w:color="auto"/>
              <w:right w:val="single" w:sz="8" w:space="0" w:color="auto"/>
            </w:tcBorders>
            <w:shd w:val="clear" w:color="000000" w:fill="FFFFFF"/>
            <w:vAlign w:val="center"/>
            <w:hideMark/>
          </w:tcPr>
          <w:p w14:paraId="0A2B2F76"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0.0</w:t>
            </w:r>
          </w:p>
        </w:tc>
        <w:tc>
          <w:tcPr>
            <w:tcW w:w="1031" w:type="dxa"/>
            <w:tcBorders>
              <w:top w:val="nil"/>
              <w:left w:val="nil"/>
              <w:bottom w:val="single" w:sz="8" w:space="0" w:color="auto"/>
              <w:right w:val="dotted" w:sz="4" w:space="0" w:color="auto"/>
            </w:tcBorders>
            <w:shd w:val="clear" w:color="000000" w:fill="FFFFFF"/>
            <w:noWrap/>
            <w:vAlign w:val="center"/>
            <w:hideMark/>
          </w:tcPr>
          <w:p w14:paraId="35C88AB3"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0.0</w:t>
            </w:r>
          </w:p>
        </w:tc>
        <w:tc>
          <w:tcPr>
            <w:tcW w:w="1620" w:type="dxa"/>
            <w:tcBorders>
              <w:top w:val="nil"/>
              <w:left w:val="nil"/>
              <w:bottom w:val="single" w:sz="8" w:space="0" w:color="auto"/>
              <w:right w:val="single" w:sz="8" w:space="0" w:color="auto"/>
            </w:tcBorders>
            <w:shd w:val="clear" w:color="000000" w:fill="FFFFFF"/>
            <w:vAlign w:val="center"/>
            <w:hideMark/>
          </w:tcPr>
          <w:p w14:paraId="697DBDC8"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0.0</w:t>
            </w:r>
          </w:p>
        </w:tc>
        <w:tc>
          <w:tcPr>
            <w:tcW w:w="1440" w:type="dxa"/>
            <w:tcBorders>
              <w:top w:val="nil"/>
              <w:left w:val="nil"/>
              <w:bottom w:val="single" w:sz="8" w:space="0" w:color="auto"/>
              <w:right w:val="dotted" w:sz="4" w:space="0" w:color="auto"/>
            </w:tcBorders>
            <w:shd w:val="clear" w:color="000000" w:fill="FFFFFF"/>
            <w:noWrap/>
            <w:vAlign w:val="center"/>
            <w:hideMark/>
          </w:tcPr>
          <w:p w14:paraId="17E689CF"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8.3</w:t>
            </w:r>
          </w:p>
        </w:tc>
        <w:tc>
          <w:tcPr>
            <w:tcW w:w="1170" w:type="dxa"/>
            <w:tcBorders>
              <w:top w:val="nil"/>
              <w:left w:val="nil"/>
              <w:bottom w:val="single" w:sz="8" w:space="0" w:color="auto"/>
              <w:right w:val="single" w:sz="8" w:space="0" w:color="auto"/>
            </w:tcBorders>
            <w:shd w:val="clear" w:color="000000" w:fill="FFFFFF"/>
            <w:vAlign w:val="center"/>
            <w:hideMark/>
          </w:tcPr>
          <w:p w14:paraId="0241901D"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0.1</w:t>
            </w:r>
          </w:p>
        </w:tc>
        <w:tc>
          <w:tcPr>
            <w:tcW w:w="1080" w:type="dxa"/>
            <w:tcBorders>
              <w:top w:val="nil"/>
              <w:left w:val="nil"/>
              <w:bottom w:val="single" w:sz="8" w:space="0" w:color="auto"/>
              <w:right w:val="dotted" w:sz="4" w:space="0" w:color="auto"/>
            </w:tcBorders>
            <w:shd w:val="clear" w:color="000000" w:fill="FFFFFF"/>
            <w:vAlign w:val="center"/>
            <w:hideMark/>
          </w:tcPr>
          <w:p w14:paraId="284247B5"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10.4</w:t>
            </w:r>
          </w:p>
        </w:tc>
        <w:tc>
          <w:tcPr>
            <w:tcW w:w="1530" w:type="dxa"/>
            <w:tcBorders>
              <w:top w:val="nil"/>
              <w:left w:val="nil"/>
              <w:bottom w:val="single" w:sz="8" w:space="0" w:color="auto"/>
              <w:right w:val="single" w:sz="8" w:space="0" w:color="auto"/>
            </w:tcBorders>
            <w:shd w:val="clear" w:color="000000" w:fill="FFFFFF"/>
            <w:vAlign w:val="center"/>
            <w:hideMark/>
          </w:tcPr>
          <w:p w14:paraId="11C5B3D1"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0.0</w:t>
            </w:r>
          </w:p>
        </w:tc>
      </w:tr>
      <w:tr w:rsidR="008B4D33" w14:paraId="274CCEA3" w14:textId="77777777" w:rsidTr="0056032F">
        <w:trPr>
          <w:trHeight w:val="315"/>
        </w:trPr>
        <w:tc>
          <w:tcPr>
            <w:tcW w:w="1160" w:type="dxa"/>
            <w:vMerge/>
            <w:tcBorders>
              <w:top w:val="nil"/>
              <w:left w:val="single" w:sz="8" w:space="0" w:color="auto"/>
              <w:bottom w:val="single" w:sz="8" w:space="0" w:color="000000"/>
              <w:right w:val="single" w:sz="8" w:space="0" w:color="auto"/>
            </w:tcBorders>
            <w:vAlign w:val="center"/>
            <w:hideMark/>
          </w:tcPr>
          <w:p w14:paraId="777DF101" w14:textId="77777777" w:rsidR="008B4D33" w:rsidRDefault="008B4D33">
            <w:pPr>
              <w:rPr>
                <w:rFonts w:ascii="Calibri" w:hAnsi="Calibri" w:cs="Calibri"/>
                <w:color w:val="000000"/>
                <w:sz w:val="22"/>
                <w:szCs w:val="22"/>
              </w:rPr>
            </w:pPr>
          </w:p>
        </w:tc>
        <w:tc>
          <w:tcPr>
            <w:tcW w:w="1350" w:type="dxa"/>
            <w:tcBorders>
              <w:top w:val="nil"/>
              <w:left w:val="nil"/>
              <w:bottom w:val="nil"/>
              <w:right w:val="single" w:sz="8" w:space="0" w:color="auto"/>
            </w:tcBorders>
            <w:shd w:val="clear" w:color="000000" w:fill="FFFFFF"/>
            <w:vAlign w:val="center"/>
            <w:hideMark/>
          </w:tcPr>
          <w:p w14:paraId="3593A195"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Rich Swamp</w:t>
            </w:r>
          </w:p>
        </w:tc>
        <w:tc>
          <w:tcPr>
            <w:tcW w:w="1133" w:type="dxa"/>
            <w:tcBorders>
              <w:top w:val="nil"/>
              <w:left w:val="nil"/>
              <w:bottom w:val="single" w:sz="8" w:space="0" w:color="auto"/>
              <w:right w:val="dotted" w:sz="4" w:space="0" w:color="auto"/>
            </w:tcBorders>
            <w:shd w:val="clear" w:color="000000" w:fill="FFFFFF"/>
            <w:noWrap/>
            <w:vAlign w:val="center"/>
            <w:hideMark/>
          </w:tcPr>
          <w:p w14:paraId="7BAAB275"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96.3</w:t>
            </w:r>
          </w:p>
        </w:tc>
        <w:tc>
          <w:tcPr>
            <w:tcW w:w="1616" w:type="dxa"/>
            <w:tcBorders>
              <w:top w:val="nil"/>
              <w:left w:val="nil"/>
              <w:bottom w:val="single" w:sz="8" w:space="0" w:color="auto"/>
              <w:right w:val="single" w:sz="8" w:space="0" w:color="auto"/>
            </w:tcBorders>
            <w:shd w:val="clear" w:color="000000" w:fill="FFFFFF"/>
            <w:vAlign w:val="center"/>
            <w:hideMark/>
          </w:tcPr>
          <w:p w14:paraId="5E8D30D5"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1.2</w:t>
            </w:r>
          </w:p>
        </w:tc>
        <w:tc>
          <w:tcPr>
            <w:tcW w:w="1031" w:type="dxa"/>
            <w:tcBorders>
              <w:top w:val="nil"/>
              <w:left w:val="nil"/>
              <w:bottom w:val="single" w:sz="8" w:space="0" w:color="auto"/>
              <w:right w:val="dotted" w:sz="4" w:space="0" w:color="auto"/>
            </w:tcBorders>
            <w:shd w:val="clear" w:color="000000" w:fill="FFFFFF"/>
            <w:noWrap/>
            <w:vAlign w:val="center"/>
            <w:hideMark/>
          </w:tcPr>
          <w:p w14:paraId="69973ECE"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59.8</w:t>
            </w:r>
          </w:p>
        </w:tc>
        <w:tc>
          <w:tcPr>
            <w:tcW w:w="1620" w:type="dxa"/>
            <w:tcBorders>
              <w:top w:val="nil"/>
              <w:left w:val="nil"/>
              <w:bottom w:val="single" w:sz="8" w:space="0" w:color="auto"/>
              <w:right w:val="single" w:sz="8" w:space="0" w:color="auto"/>
            </w:tcBorders>
            <w:shd w:val="clear" w:color="000000" w:fill="FFFFFF"/>
            <w:vAlign w:val="center"/>
            <w:hideMark/>
          </w:tcPr>
          <w:p w14:paraId="6A516676"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1.8</w:t>
            </w:r>
          </w:p>
        </w:tc>
        <w:tc>
          <w:tcPr>
            <w:tcW w:w="1440" w:type="dxa"/>
            <w:tcBorders>
              <w:top w:val="nil"/>
              <w:left w:val="nil"/>
              <w:bottom w:val="single" w:sz="8" w:space="0" w:color="auto"/>
              <w:right w:val="dotted" w:sz="4" w:space="0" w:color="auto"/>
            </w:tcBorders>
            <w:shd w:val="clear" w:color="000000" w:fill="FFFFFF"/>
            <w:noWrap/>
            <w:vAlign w:val="center"/>
            <w:hideMark/>
          </w:tcPr>
          <w:p w14:paraId="4FD49FD9"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63.5</w:t>
            </w:r>
          </w:p>
        </w:tc>
        <w:tc>
          <w:tcPr>
            <w:tcW w:w="1170" w:type="dxa"/>
            <w:tcBorders>
              <w:top w:val="nil"/>
              <w:left w:val="nil"/>
              <w:bottom w:val="single" w:sz="8" w:space="0" w:color="auto"/>
              <w:right w:val="single" w:sz="8" w:space="0" w:color="auto"/>
            </w:tcBorders>
            <w:shd w:val="clear" w:color="000000" w:fill="FFFFFF"/>
            <w:vAlign w:val="center"/>
            <w:hideMark/>
          </w:tcPr>
          <w:p w14:paraId="2B051FA6"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0.6</w:t>
            </w:r>
          </w:p>
        </w:tc>
        <w:tc>
          <w:tcPr>
            <w:tcW w:w="1080" w:type="dxa"/>
            <w:tcBorders>
              <w:top w:val="nil"/>
              <w:left w:val="nil"/>
              <w:bottom w:val="single" w:sz="8" w:space="0" w:color="auto"/>
              <w:right w:val="dotted" w:sz="4" w:space="0" w:color="auto"/>
            </w:tcBorders>
            <w:shd w:val="clear" w:color="000000" w:fill="FFFFFF"/>
            <w:vAlign w:val="center"/>
            <w:hideMark/>
          </w:tcPr>
          <w:p w14:paraId="7E9BF8A5"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219.6</w:t>
            </w:r>
          </w:p>
        </w:tc>
        <w:tc>
          <w:tcPr>
            <w:tcW w:w="1530" w:type="dxa"/>
            <w:tcBorders>
              <w:top w:val="nil"/>
              <w:left w:val="nil"/>
              <w:bottom w:val="single" w:sz="8" w:space="0" w:color="auto"/>
              <w:right w:val="single" w:sz="8" w:space="0" w:color="auto"/>
            </w:tcBorders>
            <w:shd w:val="clear" w:color="000000" w:fill="FFFFFF"/>
            <w:vAlign w:val="center"/>
            <w:hideMark/>
          </w:tcPr>
          <w:p w14:paraId="409ECDE0"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1.0</w:t>
            </w:r>
          </w:p>
        </w:tc>
      </w:tr>
      <w:tr w:rsidR="008B4D33" w14:paraId="440B7ED1" w14:textId="77777777" w:rsidTr="0056032F">
        <w:trPr>
          <w:trHeight w:val="615"/>
        </w:trPr>
        <w:tc>
          <w:tcPr>
            <w:tcW w:w="1160" w:type="dxa"/>
            <w:vMerge/>
            <w:tcBorders>
              <w:top w:val="nil"/>
              <w:left w:val="single" w:sz="8" w:space="0" w:color="auto"/>
              <w:bottom w:val="single" w:sz="8" w:space="0" w:color="000000"/>
              <w:right w:val="single" w:sz="8" w:space="0" w:color="auto"/>
            </w:tcBorders>
            <w:vAlign w:val="center"/>
            <w:hideMark/>
          </w:tcPr>
          <w:p w14:paraId="48A008E6" w14:textId="77777777" w:rsidR="008B4D33" w:rsidRDefault="008B4D33">
            <w:pPr>
              <w:rPr>
                <w:rFonts w:ascii="Calibri" w:hAnsi="Calibri" w:cs="Calibri"/>
                <w:color w:val="000000"/>
                <w:sz w:val="22"/>
                <w:szCs w:val="22"/>
              </w:rPr>
            </w:pPr>
          </w:p>
        </w:tc>
        <w:tc>
          <w:tcPr>
            <w:tcW w:w="1350" w:type="dxa"/>
            <w:tcBorders>
              <w:top w:val="nil"/>
              <w:left w:val="nil"/>
              <w:bottom w:val="nil"/>
              <w:right w:val="single" w:sz="8" w:space="0" w:color="auto"/>
            </w:tcBorders>
            <w:shd w:val="clear" w:color="000000" w:fill="FFFFFF"/>
            <w:vAlign w:val="center"/>
            <w:hideMark/>
          </w:tcPr>
          <w:p w14:paraId="3E82368C"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Shrub-Herbaceous Wetland</w:t>
            </w:r>
          </w:p>
        </w:tc>
        <w:tc>
          <w:tcPr>
            <w:tcW w:w="1133" w:type="dxa"/>
            <w:tcBorders>
              <w:top w:val="nil"/>
              <w:left w:val="nil"/>
              <w:bottom w:val="single" w:sz="8" w:space="0" w:color="auto"/>
              <w:right w:val="dotted" w:sz="4" w:space="0" w:color="auto"/>
            </w:tcBorders>
            <w:shd w:val="clear" w:color="000000" w:fill="FFFFFF"/>
            <w:noWrap/>
            <w:vAlign w:val="center"/>
            <w:hideMark/>
          </w:tcPr>
          <w:p w14:paraId="24736E48"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17.6</w:t>
            </w:r>
          </w:p>
        </w:tc>
        <w:tc>
          <w:tcPr>
            <w:tcW w:w="1616" w:type="dxa"/>
            <w:tcBorders>
              <w:top w:val="nil"/>
              <w:left w:val="nil"/>
              <w:bottom w:val="single" w:sz="8" w:space="0" w:color="auto"/>
              <w:right w:val="single" w:sz="8" w:space="0" w:color="auto"/>
            </w:tcBorders>
            <w:shd w:val="clear" w:color="000000" w:fill="FFFFFF"/>
            <w:vAlign w:val="center"/>
            <w:hideMark/>
          </w:tcPr>
          <w:p w14:paraId="7B5A7653"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0.2</w:t>
            </w:r>
          </w:p>
        </w:tc>
        <w:tc>
          <w:tcPr>
            <w:tcW w:w="1031" w:type="dxa"/>
            <w:tcBorders>
              <w:top w:val="nil"/>
              <w:left w:val="nil"/>
              <w:bottom w:val="single" w:sz="8" w:space="0" w:color="auto"/>
              <w:right w:val="dotted" w:sz="4" w:space="0" w:color="auto"/>
            </w:tcBorders>
            <w:shd w:val="clear" w:color="000000" w:fill="FFFFFF"/>
            <w:noWrap/>
            <w:vAlign w:val="center"/>
            <w:hideMark/>
          </w:tcPr>
          <w:p w14:paraId="587A5ADE"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38.4</w:t>
            </w:r>
          </w:p>
        </w:tc>
        <w:tc>
          <w:tcPr>
            <w:tcW w:w="1620" w:type="dxa"/>
            <w:tcBorders>
              <w:top w:val="nil"/>
              <w:left w:val="nil"/>
              <w:bottom w:val="single" w:sz="8" w:space="0" w:color="auto"/>
              <w:right w:val="single" w:sz="8" w:space="0" w:color="auto"/>
            </w:tcBorders>
            <w:shd w:val="clear" w:color="000000" w:fill="FFFFFF"/>
            <w:vAlign w:val="center"/>
            <w:hideMark/>
          </w:tcPr>
          <w:p w14:paraId="68FCD548"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1.2</w:t>
            </w:r>
          </w:p>
        </w:tc>
        <w:tc>
          <w:tcPr>
            <w:tcW w:w="1440" w:type="dxa"/>
            <w:tcBorders>
              <w:top w:val="nil"/>
              <w:left w:val="nil"/>
              <w:bottom w:val="single" w:sz="8" w:space="0" w:color="auto"/>
              <w:right w:val="dotted" w:sz="4" w:space="0" w:color="auto"/>
            </w:tcBorders>
            <w:shd w:val="clear" w:color="000000" w:fill="FFFFFF"/>
            <w:noWrap/>
            <w:vAlign w:val="center"/>
            <w:hideMark/>
          </w:tcPr>
          <w:p w14:paraId="468F14CE"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66.2</w:t>
            </w:r>
          </w:p>
        </w:tc>
        <w:tc>
          <w:tcPr>
            <w:tcW w:w="1170" w:type="dxa"/>
            <w:tcBorders>
              <w:top w:val="nil"/>
              <w:left w:val="nil"/>
              <w:bottom w:val="single" w:sz="8" w:space="0" w:color="auto"/>
              <w:right w:val="single" w:sz="8" w:space="0" w:color="auto"/>
            </w:tcBorders>
            <w:shd w:val="clear" w:color="000000" w:fill="FFFFFF"/>
            <w:vAlign w:val="center"/>
            <w:hideMark/>
          </w:tcPr>
          <w:p w14:paraId="7A1E0105"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0.6</w:t>
            </w:r>
          </w:p>
        </w:tc>
        <w:tc>
          <w:tcPr>
            <w:tcW w:w="1080" w:type="dxa"/>
            <w:tcBorders>
              <w:top w:val="nil"/>
              <w:left w:val="nil"/>
              <w:bottom w:val="single" w:sz="8" w:space="0" w:color="auto"/>
              <w:right w:val="dotted" w:sz="4" w:space="0" w:color="auto"/>
            </w:tcBorders>
            <w:shd w:val="clear" w:color="000000" w:fill="FFFFFF"/>
            <w:vAlign w:val="center"/>
            <w:hideMark/>
          </w:tcPr>
          <w:p w14:paraId="6C1A0304"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122.2</w:t>
            </w:r>
          </w:p>
        </w:tc>
        <w:tc>
          <w:tcPr>
            <w:tcW w:w="1530" w:type="dxa"/>
            <w:tcBorders>
              <w:top w:val="nil"/>
              <w:left w:val="nil"/>
              <w:bottom w:val="single" w:sz="8" w:space="0" w:color="auto"/>
              <w:right w:val="single" w:sz="8" w:space="0" w:color="auto"/>
            </w:tcBorders>
            <w:shd w:val="clear" w:color="000000" w:fill="FFFFFF"/>
            <w:vAlign w:val="center"/>
            <w:hideMark/>
          </w:tcPr>
          <w:p w14:paraId="3CF2A75D"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0.6</w:t>
            </w:r>
          </w:p>
        </w:tc>
      </w:tr>
      <w:tr w:rsidR="008B4D33" w14:paraId="1F8A81C8" w14:textId="77777777" w:rsidTr="0056032F">
        <w:trPr>
          <w:trHeight w:val="315"/>
        </w:trPr>
        <w:tc>
          <w:tcPr>
            <w:tcW w:w="1160" w:type="dxa"/>
            <w:vMerge/>
            <w:tcBorders>
              <w:top w:val="nil"/>
              <w:left w:val="single" w:sz="8" w:space="0" w:color="auto"/>
              <w:bottom w:val="single" w:sz="8" w:space="0" w:color="000000"/>
              <w:right w:val="single" w:sz="8" w:space="0" w:color="auto"/>
            </w:tcBorders>
            <w:vAlign w:val="center"/>
            <w:hideMark/>
          </w:tcPr>
          <w:p w14:paraId="080CDE36" w14:textId="77777777" w:rsidR="008B4D33" w:rsidRDefault="008B4D33">
            <w:pPr>
              <w:rPr>
                <w:rFonts w:ascii="Calibri" w:hAnsi="Calibri" w:cs="Calibri"/>
                <w:color w:val="000000"/>
                <w:sz w:val="22"/>
                <w:szCs w:val="22"/>
              </w:rPr>
            </w:pPr>
          </w:p>
        </w:tc>
        <w:tc>
          <w:tcPr>
            <w:tcW w:w="1350" w:type="dxa"/>
            <w:tcBorders>
              <w:top w:val="nil"/>
              <w:left w:val="nil"/>
              <w:bottom w:val="nil"/>
              <w:right w:val="single" w:sz="8" w:space="0" w:color="auto"/>
            </w:tcBorders>
            <w:shd w:val="clear" w:color="000000" w:fill="FFFFFF"/>
            <w:vAlign w:val="center"/>
            <w:hideMark/>
          </w:tcPr>
          <w:p w14:paraId="70B57FA0"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Shrub/Scrub Wetland</w:t>
            </w:r>
          </w:p>
        </w:tc>
        <w:tc>
          <w:tcPr>
            <w:tcW w:w="1133" w:type="dxa"/>
            <w:tcBorders>
              <w:top w:val="nil"/>
              <w:left w:val="nil"/>
              <w:bottom w:val="single" w:sz="8" w:space="0" w:color="auto"/>
              <w:right w:val="dotted" w:sz="4" w:space="0" w:color="auto"/>
            </w:tcBorders>
            <w:shd w:val="clear" w:color="000000" w:fill="FFFFFF"/>
            <w:noWrap/>
            <w:vAlign w:val="center"/>
            <w:hideMark/>
          </w:tcPr>
          <w:p w14:paraId="7DEE1E4C"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45.8</w:t>
            </w:r>
          </w:p>
        </w:tc>
        <w:tc>
          <w:tcPr>
            <w:tcW w:w="1616" w:type="dxa"/>
            <w:tcBorders>
              <w:top w:val="nil"/>
              <w:left w:val="nil"/>
              <w:bottom w:val="single" w:sz="8" w:space="0" w:color="auto"/>
              <w:right w:val="single" w:sz="8" w:space="0" w:color="auto"/>
            </w:tcBorders>
            <w:shd w:val="clear" w:color="000000" w:fill="FFFFFF"/>
            <w:vAlign w:val="center"/>
            <w:hideMark/>
          </w:tcPr>
          <w:p w14:paraId="330D4F82"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0.6</w:t>
            </w:r>
          </w:p>
        </w:tc>
        <w:tc>
          <w:tcPr>
            <w:tcW w:w="1031" w:type="dxa"/>
            <w:tcBorders>
              <w:top w:val="nil"/>
              <w:left w:val="nil"/>
              <w:bottom w:val="single" w:sz="8" w:space="0" w:color="auto"/>
              <w:right w:val="dotted" w:sz="4" w:space="0" w:color="auto"/>
            </w:tcBorders>
            <w:shd w:val="clear" w:color="000000" w:fill="FFFFFF"/>
            <w:noWrap/>
            <w:vAlign w:val="center"/>
            <w:hideMark/>
          </w:tcPr>
          <w:p w14:paraId="20AFF87C"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0.0</w:t>
            </w:r>
          </w:p>
        </w:tc>
        <w:tc>
          <w:tcPr>
            <w:tcW w:w="1620" w:type="dxa"/>
            <w:tcBorders>
              <w:top w:val="nil"/>
              <w:left w:val="nil"/>
              <w:bottom w:val="single" w:sz="8" w:space="0" w:color="auto"/>
              <w:right w:val="single" w:sz="8" w:space="0" w:color="auto"/>
            </w:tcBorders>
            <w:shd w:val="clear" w:color="000000" w:fill="FFFFFF"/>
            <w:vAlign w:val="center"/>
            <w:hideMark/>
          </w:tcPr>
          <w:p w14:paraId="19DC60C0"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0.0</w:t>
            </w:r>
          </w:p>
        </w:tc>
        <w:tc>
          <w:tcPr>
            <w:tcW w:w="1440" w:type="dxa"/>
            <w:tcBorders>
              <w:top w:val="nil"/>
              <w:left w:val="nil"/>
              <w:bottom w:val="single" w:sz="8" w:space="0" w:color="auto"/>
              <w:right w:val="dotted" w:sz="4" w:space="0" w:color="auto"/>
            </w:tcBorders>
            <w:shd w:val="clear" w:color="000000" w:fill="FFFFFF"/>
            <w:noWrap/>
            <w:vAlign w:val="center"/>
            <w:hideMark/>
          </w:tcPr>
          <w:p w14:paraId="367865F7"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244.5</w:t>
            </w:r>
          </w:p>
        </w:tc>
        <w:tc>
          <w:tcPr>
            <w:tcW w:w="1170" w:type="dxa"/>
            <w:tcBorders>
              <w:top w:val="nil"/>
              <w:left w:val="nil"/>
              <w:bottom w:val="single" w:sz="8" w:space="0" w:color="auto"/>
              <w:right w:val="single" w:sz="8" w:space="0" w:color="auto"/>
            </w:tcBorders>
            <w:shd w:val="clear" w:color="000000" w:fill="FFFFFF"/>
            <w:vAlign w:val="center"/>
            <w:hideMark/>
          </w:tcPr>
          <w:p w14:paraId="43EC81C2"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2.4</w:t>
            </w:r>
          </w:p>
        </w:tc>
        <w:tc>
          <w:tcPr>
            <w:tcW w:w="1080" w:type="dxa"/>
            <w:tcBorders>
              <w:top w:val="nil"/>
              <w:left w:val="nil"/>
              <w:bottom w:val="single" w:sz="8" w:space="0" w:color="auto"/>
              <w:right w:val="dotted" w:sz="4" w:space="0" w:color="auto"/>
            </w:tcBorders>
            <w:shd w:val="clear" w:color="000000" w:fill="FFFFFF"/>
            <w:vAlign w:val="center"/>
            <w:hideMark/>
          </w:tcPr>
          <w:p w14:paraId="633ABED3"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290.3</w:t>
            </w:r>
          </w:p>
        </w:tc>
        <w:tc>
          <w:tcPr>
            <w:tcW w:w="1530" w:type="dxa"/>
            <w:tcBorders>
              <w:top w:val="nil"/>
              <w:left w:val="nil"/>
              <w:bottom w:val="single" w:sz="8" w:space="0" w:color="auto"/>
              <w:right w:val="single" w:sz="8" w:space="0" w:color="auto"/>
            </w:tcBorders>
            <w:shd w:val="clear" w:color="000000" w:fill="FFFFFF"/>
            <w:vAlign w:val="center"/>
            <w:hideMark/>
          </w:tcPr>
          <w:p w14:paraId="5FB78C34"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1.3</w:t>
            </w:r>
          </w:p>
        </w:tc>
      </w:tr>
      <w:tr w:rsidR="008B4D33" w14:paraId="462591E5" w14:textId="77777777" w:rsidTr="0056032F">
        <w:trPr>
          <w:trHeight w:val="315"/>
        </w:trPr>
        <w:tc>
          <w:tcPr>
            <w:tcW w:w="1160" w:type="dxa"/>
            <w:vMerge/>
            <w:tcBorders>
              <w:top w:val="nil"/>
              <w:left w:val="single" w:sz="8" w:space="0" w:color="auto"/>
              <w:bottom w:val="single" w:sz="8" w:space="0" w:color="000000"/>
              <w:right w:val="single" w:sz="8" w:space="0" w:color="auto"/>
            </w:tcBorders>
            <w:vAlign w:val="center"/>
            <w:hideMark/>
          </w:tcPr>
          <w:p w14:paraId="1FA195CC" w14:textId="77777777" w:rsidR="008B4D33" w:rsidRDefault="008B4D33">
            <w:pPr>
              <w:rPr>
                <w:rFonts w:ascii="Calibri" w:hAnsi="Calibri" w:cs="Calibri"/>
                <w:color w:val="000000"/>
                <w:sz w:val="22"/>
                <w:szCs w:val="22"/>
              </w:rPr>
            </w:pPr>
          </w:p>
        </w:tc>
        <w:tc>
          <w:tcPr>
            <w:tcW w:w="1350" w:type="dxa"/>
            <w:tcBorders>
              <w:top w:val="nil"/>
              <w:left w:val="nil"/>
              <w:bottom w:val="single" w:sz="8" w:space="0" w:color="auto"/>
              <w:right w:val="single" w:sz="8" w:space="0" w:color="auto"/>
            </w:tcBorders>
            <w:shd w:val="clear" w:color="000000" w:fill="FFFFFF"/>
            <w:vAlign w:val="center"/>
            <w:hideMark/>
          </w:tcPr>
          <w:p w14:paraId="14FC792C"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Swamp</w:t>
            </w:r>
          </w:p>
        </w:tc>
        <w:tc>
          <w:tcPr>
            <w:tcW w:w="1133" w:type="dxa"/>
            <w:tcBorders>
              <w:top w:val="nil"/>
              <w:left w:val="nil"/>
              <w:bottom w:val="single" w:sz="8" w:space="0" w:color="auto"/>
              <w:right w:val="dotted" w:sz="4" w:space="0" w:color="auto"/>
            </w:tcBorders>
            <w:shd w:val="clear" w:color="000000" w:fill="FFFFFF"/>
            <w:noWrap/>
            <w:vAlign w:val="center"/>
            <w:hideMark/>
          </w:tcPr>
          <w:p w14:paraId="34C13A18"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0.0</w:t>
            </w:r>
          </w:p>
        </w:tc>
        <w:tc>
          <w:tcPr>
            <w:tcW w:w="1616" w:type="dxa"/>
            <w:tcBorders>
              <w:top w:val="nil"/>
              <w:left w:val="nil"/>
              <w:bottom w:val="single" w:sz="8" w:space="0" w:color="auto"/>
              <w:right w:val="single" w:sz="8" w:space="0" w:color="auto"/>
            </w:tcBorders>
            <w:shd w:val="clear" w:color="000000" w:fill="FFFFFF"/>
            <w:vAlign w:val="center"/>
            <w:hideMark/>
          </w:tcPr>
          <w:p w14:paraId="73DE6B87"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0.0</w:t>
            </w:r>
          </w:p>
        </w:tc>
        <w:tc>
          <w:tcPr>
            <w:tcW w:w="1031" w:type="dxa"/>
            <w:tcBorders>
              <w:top w:val="nil"/>
              <w:left w:val="nil"/>
              <w:bottom w:val="single" w:sz="8" w:space="0" w:color="auto"/>
              <w:right w:val="dotted" w:sz="4" w:space="0" w:color="auto"/>
            </w:tcBorders>
            <w:shd w:val="clear" w:color="000000" w:fill="FFFFFF"/>
            <w:noWrap/>
            <w:vAlign w:val="center"/>
            <w:hideMark/>
          </w:tcPr>
          <w:p w14:paraId="36D01ED1"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0.9</w:t>
            </w:r>
          </w:p>
        </w:tc>
        <w:tc>
          <w:tcPr>
            <w:tcW w:w="1620" w:type="dxa"/>
            <w:tcBorders>
              <w:top w:val="nil"/>
              <w:left w:val="nil"/>
              <w:bottom w:val="single" w:sz="8" w:space="0" w:color="auto"/>
              <w:right w:val="single" w:sz="8" w:space="0" w:color="auto"/>
            </w:tcBorders>
            <w:shd w:val="clear" w:color="000000" w:fill="FFFFFF"/>
            <w:vAlign w:val="center"/>
            <w:hideMark/>
          </w:tcPr>
          <w:p w14:paraId="693B0CAB"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0.0</w:t>
            </w:r>
          </w:p>
        </w:tc>
        <w:tc>
          <w:tcPr>
            <w:tcW w:w="1440" w:type="dxa"/>
            <w:tcBorders>
              <w:top w:val="nil"/>
              <w:left w:val="nil"/>
              <w:bottom w:val="single" w:sz="8" w:space="0" w:color="auto"/>
              <w:right w:val="dotted" w:sz="4" w:space="0" w:color="auto"/>
            </w:tcBorders>
            <w:shd w:val="clear" w:color="000000" w:fill="FFFFFF"/>
            <w:noWrap/>
            <w:vAlign w:val="center"/>
            <w:hideMark/>
          </w:tcPr>
          <w:p w14:paraId="1961E6AC"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4.1</w:t>
            </w:r>
          </w:p>
        </w:tc>
        <w:tc>
          <w:tcPr>
            <w:tcW w:w="1170" w:type="dxa"/>
            <w:tcBorders>
              <w:top w:val="nil"/>
              <w:left w:val="nil"/>
              <w:bottom w:val="single" w:sz="8" w:space="0" w:color="auto"/>
              <w:right w:val="single" w:sz="8" w:space="0" w:color="auto"/>
            </w:tcBorders>
            <w:shd w:val="clear" w:color="000000" w:fill="FFFFFF"/>
            <w:vAlign w:val="center"/>
            <w:hideMark/>
          </w:tcPr>
          <w:p w14:paraId="5BDB1333"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0.0</w:t>
            </w:r>
          </w:p>
        </w:tc>
        <w:tc>
          <w:tcPr>
            <w:tcW w:w="1080" w:type="dxa"/>
            <w:tcBorders>
              <w:top w:val="nil"/>
              <w:left w:val="nil"/>
              <w:bottom w:val="single" w:sz="8" w:space="0" w:color="auto"/>
              <w:right w:val="dotted" w:sz="4" w:space="0" w:color="auto"/>
            </w:tcBorders>
            <w:shd w:val="clear" w:color="000000" w:fill="FFFFFF"/>
            <w:vAlign w:val="center"/>
            <w:hideMark/>
          </w:tcPr>
          <w:p w14:paraId="7E7C66A3"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5.0</w:t>
            </w:r>
          </w:p>
        </w:tc>
        <w:tc>
          <w:tcPr>
            <w:tcW w:w="1530" w:type="dxa"/>
            <w:tcBorders>
              <w:top w:val="nil"/>
              <w:left w:val="nil"/>
              <w:bottom w:val="single" w:sz="8" w:space="0" w:color="auto"/>
              <w:right w:val="single" w:sz="8" w:space="0" w:color="auto"/>
            </w:tcBorders>
            <w:shd w:val="clear" w:color="000000" w:fill="FFFFFF"/>
            <w:vAlign w:val="center"/>
            <w:hideMark/>
          </w:tcPr>
          <w:p w14:paraId="057A76A0"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0.0</w:t>
            </w:r>
          </w:p>
        </w:tc>
      </w:tr>
      <w:tr w:rsidR="008B4D33" w14:paraId="79527D55" w14:textId="77777777" w:rsidTr="0056032F">
        <w:trPr>
          <w:trHeight w:val="315"/>
        </w:trPr>
        <w:tc>
          <w:tcPr>
            <w:tcW w:w="1160" w:type="dxa"/>
            <w:tcBorders>
              <w:top w:val="nil"/>
              <w:left w:val="single" w:sz="8" w:space="0" w:color="000000"/>
              <w:bottom w:val="nil"/>
              <w:right w:val="single" w:sz="8" w:space="0" w:color="auto"/>
            </w:tcBorders>
            <w:shd w:val="clear" w:color="000000" w:fill="FFFFFF"/>
            <w:noWrap/>
            <w:vAlign w:val="bottom"/>
            <w:hideMark/>
          </w:tcPr>
          <w:p w14:paraId="2A5AD9C1" w14:textId="77777777" w:rsidR="008B4D33" w:rsidRDefault="008B4D33">
            <w:pPr>
              <w:rPr>
                <w:rFonts w:ascii="Calibri" w:hAnsi="Calibri" w:cs="Calibri"/>
                <w:color w:val="000000"/>
                <w:sz w:val="22"/>
                <w:szCs w:val="22"/>
              </w:rPr>
            </w:pPr>
            <w:r>
              <w:rPr>
                <w:rFonts w:ascii="Calibri" w:hAnsi="Calibri" w:cs="Calibri"/>
                <w:color w:val="000000"/>
                <w:sz w:val="22"/>
                <w:szCs w:val="22"/>
              </w:rPr>
              <w:t>Water</w:t>
            </w:r>
          </w:p>
        </w:tc>
        <w:tc>
          <w:tcPr>
            <w:tcW w:w="1350" w:type="dxa"/>
            <w:tcBorders>
              <w:top w:val="nil"/>
              <w:left w:val="nil"/>
              <w:bottom w:val="nil"/>
              <w:right w:val="single" w:sz="8" w:space="0" w:color="auto"/>
            </w:tcBorders>
            <w:shd w:val="clear" w:color="000000" w:fill="FFFFFF"/>
            <w:noWrap/>
            <w:vAlign w:val="bottom"/>
            <w:hideMark/>
          </w:tcPr>
          <w:p w14:paraId="7A60999A" w14:textId="77777777" w:rsidR="008B4D33" w:rsidRDefault="008B4D33">
            <w:pPr>
              <w:rPr>
                <w:rFonts w:ascii="Calibri" w:hAnsi="Calibri" w:cs="Calibri"/>
                <w:color w:val="000000"/>
                <w:sz w:val="22"/>
                <w:szCs w:val="22"/>
              </w:rPr>
            </w:pPr>
            <w:r>
              <w:rPr>
                <w:rFonts w:ascii="Calibri" w:hAnsi="Calibri" w:cs="Calibri"/>
                <w:color w:val="000000"/>
                <w:sz w:val="22"/>
                <w:szCs w:val="22"/>
              </w:rPr>
              <w:t> </w:t>
            </w:r>
          </w:p>
        </w:tc>
        <w:tc>
          <w:tcPr>
            <w:tcW w:w="1133" w:type="dxa"/>
            <w:tcBorders>
              <w:top w:val="nil"/>
              <w:left w:val="nil"/>
              <w:bottom w:val="nil"/>
              <w:right w:val="dotted" w:sz="4" w:space="0" w:color="auto"/>
            </w:tcBorders>
            <w:shd w:val="clear" w:color="000000" w:fill="FFFFFF"/>
            <w:noWrap/>
            <w:vAlign w:val="center"/>
            <w:hideMark/>
          </w:tcPr>
          <w:p w14:paraId="66F196A3" w14:textId="77777777" w:rsidR="008B4D33" w:rsidRPr="00687645" w:rsidRDefault="008B4D33">
            <w:pPr>
              <w:jc w:val="center"/>
              <w:rPr>
                <w:rFonts w:ascii="Calibri" w:hAnsi="Calibri" w:cs="Calibri"/>
                <w:color w:val="000000"/>
                <w:sz w:val="22"/>
                <w:szCs w:val="22"/>
              </w:rPr>
            </w:pPr>
            <w:r w:rsidRPr="00687645">
              <w:rPr>
                <w:rFonts w:ascii="Calibri" w:hAnsi="Calibri" w:cs="Calibri"/>
                <w:color w:val="000000"/>
                <w:sz w:val="22"/>
                <w:szCs w:val="22"/>
              </w:rPr>
              <w:t>173.2</w:t>
            </w:r>
          </w:p>
        </w:tc>
        <w:tc>
          <w:tcPr>
            <w:tcW w:w="1616" w:type="dxa"/>
            <w:tcBorders>
              <w:top w:val="nil"/>
              <w:left w:val="nil"/>
              <w:bottom w:val="nil"/>
              <w:right w:val="single" w:sz="8" w:space="0" w:color="auto"/>
            </w:tcBorders>
            <w:shd w:val="clear" w:color="000000" w:fill="FFFFFF"/>
            <w:vAlign w:val="center"/>
            <w:hideMark/>
          </w:tcPr>
          <w:p w14:paraId="5D2CE86B" w14:textId="77777777" w:rsidR="008B4D33" w:rsidRPr="00687645" w:rsidRDefault="008B4D33">
            <w:pPr>
              <w:jc w:val="center"/>
              <w:rPr>
                <w:rFonts w:ascii="Calibri" w:hAnsi="Calibri" w:cs="Calibri"/>
                <w:color w:val="000000"/>
                <w:sz w:val="22"/>
                <w:szCs w:val="22"/>
              </w:rPr>
            </w:pPr>
            <w:r w:rsidRPr="00687645">
              <w:rPr>
                <w:rFonts w:ascii="Calibri" w:hAnsi="Calibri" w:cs="Calibri"/>
                <w:color w:val="000000"/>
                <w:sz w:val="22"/>
                <w:szCs w:val="22"/>
              </w:rPr>
              <w:t>2.2</w:t>
            </w:r>
          </w:p>
        </w:tc>
        <w:tc>
          <w:tcPr>
            <w:tcW w:w="1031" w:type="dxa"/>
            <w:tcBorders>
              <w:top w:val="nil"/>
              <w:left w:val="nil"/>
              <w:bottom w:val="nil"/>
              <w:right w:val="dotted" w:sz="4" w:space="0" w:color="auto"/>
            </w:tcBorders>
            <w:shd w:val="clear" w:color="000000" w:fill="FFFFFF"/>
            <w:noWrap/>
            <w:vAlign w:val="center"/>
            <w:hideMark/>
          </w:tcPr>
          <w:p w14:paraId="1EDD3EB8" w14:textId="77777777" w:rsidR="008B4D33" w:rsidRPr="00687645" w:rsidRDefault="008B4D33">
            <w:pPr>
              <w:jc w:val="center"/>
              <w:rPr>
                <w:rFonts w:ascii="Calibri" w:hAnsi="Calibri" w:cs="Calibri"/>
                <w:color w:val="000000"/>
                <w:sz w:val="22"/>
                <w:szCs w:val="22"/>
              </w:rPr>
            </w:pPr>
            <w:r w:rsidRPr="00687645">
              <w:rPr>
                <w:rFonts w:ascii="Calibri" w:hAnsi="Calibri" w:cs="Calibri"/>
                <w:color w:val="000000"/>
                <w:sz w:val="22"/>
                <w:szCs w:val="22"/>
              </w:rPr>
              <w:t>1000.4</w:t>
            </w:r>
          </w:p>
        </w:tc>
        <w:tc>
          <w:tcPr>
            <w:tcW w:w="1620" w:type="dxa"/>
            <w:tcBorders>
              <w:top w:val="nil"/>
              <w:left w:val="nil"/>
              <w:bottom w:val="nil"/>
              <w:right w:val="single" w:sz="8" w:space="0" w:color="auto"/>
            </w:tcBorders>
            <w:shd w:val="clear" w:color="000000" w:fill="FFFFFF"/>
            <w:vAlign w:val="center"/>
            <w:hideMark/>
          </w:tcPr>
          <w:p w14:paraId="28BBD743" w14:textId="77777777" w:rsidR="008B4D33" w:rsidRPr="00687645" w:rsidRDefault="008B4D33">
            <w:pPr>
              <w:jc w:val="center"/>
              <w:rPr>
                <w:rFonts w:ascii="Calibri" w:hAnsi="Calibri" w:cs="Calibri"/>
                <w:color w:val="000000"/>
                <w:sz w:val="22"/>
                <w:szCs w:val="22"/>
              </w:rPr>
            </w:pPr>
            <w:r w:rsidRPr="00687645">
              <w:rPr>
                <w:rFonts w:ascii="Calibri" w:hAnsi="Calibri" w:cs="Calibri"/>
                <w:color w:val="000000"/>
                <w:sz w:val="22"/>
                <w:szCs w:val="22"/>
              </w:rPr>
              <w:t>30.1</w:t>
            </w:r>
          </w:p>
        </w:tc>
        <w:tc>
          <w:tcPr>
            <w:tcW w:w="1440" w:type="dxa"/>
            <w:tcBorders>
              <w:top w:val="nil"/>
              <w:left w:val="nil"/>
              <w:bottom w:val="nil"/>
              <w:right w:val="dotted" w:sz="4" w:space="0" w:color="auto"/>
            </w:tcBorders>
            <w:shd w:val="clear" w:color="000000" w:fill="FFFFFF"/>
            <w:noWrap/>
            <w:vAlign w:val="center"/>
            <w:hideMark/>
          </w:tcPr>
          <w:p w14:paraId="493DE494" w14:textId="77777777" w:rsidR="008B4D33" w:rsidRPr="00687645" w:rsidRDefault="008B4D33">
            <w:pPr>
              <w:jc w:val="center"/>
              <w:rPr>
                <w:rFonts w:ascii="Calibri" w:hAnsi="Calibri" w:cs="Calibri"/>
                <w:color w:val="000000"/>
                <w:sz w:val="22"/>
                <w:szCs w:val="22"/>
              </w:rPr>
            </w:pPr>
            <w:r w:rsidRPr="00687645">
              <w:rPr>
                <w:rFonts w:ascii="Calibri" w:hAnsi="Calibri" w:cs="Calibri"/>
                <w:color w:val="000000"/>
                <w:sz w:val="22"/>
                <w:szCs w:val="22"/>
              </w:rPr>
              <w:t>1362.7</w:t>
            </w:r>
          </w:p>
        </w:tc>
        <w:tc>
          <w:tcPr>
            <w:tcW w:w="1170" w:type="dxa"/>
            <w:tcBorders>
              <w:top w:val="nil"/>
              <w:left w:val="nil"/>
              <w:bottom w:val="nil"/>
              <w:right w:val="single" w:sz="8" w:space="0" w:color="auto"/>
            </w:tcBorders>
            <w:shd w:val="clear" w:color="000000" w:fill="FFFFFF"/>
            <w:vAlign w:val="center"/>
            <w:hideMark/>
          </w:tcPr>
          <w:p w14:paraId="6676E74B" w14:textId="77777777" w:rsidR="008B4D33" w:rsidRPr="00687645" w:rsidRDefault="008B4D33">
            <w:pPr>
              <w:jc w:val="center"/>
              <w:rPr>
                <w:rFonts w:ascii="Calibri" w:hAnsi="Calibri" w:cs="Calibri"/>
                <w:color w:val="000000"/>
                <w:sz w:val="22"/>
                <w:szCs w:val="22"/>
              </w:rPr>
            </w:pPr>
            <w:r w:rsidRPr="00687645">
              <w:rPr>
                <w:rFonts w:ascii="Calibri" w:hAnsi="Calibri" w:cs="Calibri"/>
                <w:color w:val="000000"/>
                <w:sz w:val="22"/>
                <w:szCs w:val="22"/>
              </w:rPr>
              <w:t>13.2</w:t>
            </w:r>
          </w:p>
        </w:tc>
        <w:tc>
          <w:tcPr>
            <w:tcW w:w="1080" w:type="dxa"/>
            <w:tcBorders>
              <w:top w:val="nil"/>
              <w:left w:val="nil"/>
              <w:bottom w:val="single" w:sz="8" w:space="0" w:color="auto"/>
              <w:right w:val="dotted" w:sz="4" w:space="0" w:color="auto"/>
            </w:tcBorders>
            <w:shd w:val="clear" w:color="000000" w:fill="FFFFFF"/>
            <w:vAlign w:val="center"/>
            <w:hideMark/>
          </w:tcPr>
          <w:p w14:paraId="7A9406CD" w14:textId="77777777" w:rsidR="008B4D33" w:rsidRPr="00687645" w:rsidRDefault="008B4D33">
            <w:pPr>
              <w:jc w:val="center"/>
              <w:rPr>
                <w:rFonts w:ascii="Calibri" w:hAnsi="Calibri" w:cs="Calibri"/>
                <w:color w:val="000000"/>
                <w:sz w:val="22"/>
                <w:szCs w:val="22"/>
              </w:rPr>
            </w:pPr>
            <w:r w:rsidRPr="00687645">
              <w:rPr>
                <w:rFonts w:ascii="Calibri" w:hAnsi="Calibri" w:cs="Calibri"/>
                <w:color w:val="000000"/>
                <w:sz w:val="22"/>
                <w:szCs w:val="22"/>
              </w:rPr>
              <w:t>2536.3</w:t>
            </w:r>
          </w:p>
        </w:tc>
        <w:tc>
          <w:tcPr>
            <w:tcW w:w="1530" w:type="dxa"/>
            <w:tcBorders>
              <w:top w:val="nil"/>
              <w:left w:val="nil"/>
              <w:bottom w:val="nil"/>
              <w:right w:val="single" w:sz="8" w:space="0" w:color="auto"/>
            </w:tcBorders>
            <w:shd w:val="clear" w:color="000000" w:fill="FFFFFF"/>
            <w:vAlign w:val="center"/>
            <w:hideMark/>
          </w:tcPr>
          <w:p w14:paraId="1BD5EF85" w14:textId="77777777" w:rsidR="008B4D33" w:rsidRPr="00687645" w:rsidRDefault="008B4D33">
            <w:pPr>
              <w:jc w:val="center"/>
              <w:rPr>
                <w:rFonts w:ascii="Calibri" w:hAnsi="Calibri" w:cs="Calibri"/>
                <w:color w:val="000000"/>
                <w:sz w:val="22"/>
                <w:szCs w:val="22"/>
              </w:rPr>
            </w:pPr>
            <w:r w:rsidRPr="00687645">
              <w:rPr>
                <w:rFonts w:ascii="Calibri" w:hAnsi="Calibri" w:cs="Calibri"/>
                <w:color w:val="000000"/>
                <w:sz w:val="22"/>
                <w:szCs w:val="22"/>
              </w:rPr>
              <w:t>11.7</w:t>
            </w:r>
          </w:p>
        </w:tc>
      </w:tr>
      <w:tr w:rsidR="008B4D33" w14:paraId="09F1B1A9" w14:textId="77777777" w:rsidTr="0056032F">
        <w:trPr>
          <w:trHeight w:val="315"/>
        </w:trPr>
        <w:tc>
          <w:tcPr>
            <w:tcW w:w="1160" w:type="dxa"/>
            <w:tcBorders>
              <w:top w:val="single" w:sz="8" w:space="0" w:color="000000"/>
              <w:left w:val="single" w:sz="8" w:space="0" w:color="000000"/>
              <w:bottom w:val="single" w:sz="8" w:space="0" w:color="000000"/>
              <w:right w:val="single" w:sz="8" w:space="0" w:color="auto"/>
            </w:tcBorders>
            <w:shd w:val="clear" w:color="000000" w:fill="FFFFFF"/>
            <w:noWrap/>
            <w:vAlign w:val="bottom"/>
            <w:hideMark/>
          </w:tcPr>
          <w:p w14:paraId="6C9F12AC" w14:textId="77777777" w:rsidR="008B4D33" w:rsidRDefault="008B4D33">
            <w:pPr>
              <w:rPr>
                <w:rFonts w:ascii="Calibri" w:hAnsi="Calibri" w:cs="Calibri"/>
                <w:color w:val="000000"/>
                <w:sz w:val="22"/>
                <w:szCs w:val="22"/>
              </w:rPr>
            </w:pPr>
            <w:r>
              <w:rPr>
                <w:rFonts w:ascii="Calibri" w:hAnsi="Calibri" w:cs="Calibri"/>
                <w:color w:val="000000"/>
                <w:sz w:val="22"/>
                <w:szCs w:val="22"/>
              </w:rPr>
              <w:t>Vacant</w:t>
            </w:r>
          </w:p>
        </w:tc>
        <w:tc>
          <w:tcPr>
            <w:tcW w:w="1350" w:type="dxa"/>
            <w:tcBorders>
              <w:top w:val="single" w:sz="8" w:space="0" w:color="000000"/>
              <w:left w:val="nil"/>
              <w:bottom w:val="single" w:sz="8" w:space="0" w:color="000000"/>
              <w:right w:val="single" w:sz="8" w:space="0" w:color="auto"/>
            </w:tcBorders>
            <w:shd w:val="clear" w:color="000000" w:fill="FFFFFF"/>
            <w:noWrap/>
            <w:vAlign w:val="bottom"/>
            <w:hideMark/>
          </w:tcPr>
          <w:p w14:paraId="2D9C46CC" w14:textId="77777777" w:rsidR="008B4D33" w:rsidRDefault="008B4D33">
            <w:pPr>
              <w:rPr>
                <w:rFonts w:ascii="Calibri" w:hAnsi="Calibri" w:cs="Calibri"/>
                <w:color w:val="000000"/>
                <w:sz w:val="22"/>
                <w:szCs w:val="22"/>
              </w:rPr>
            </w:pPr>
            <w:r>
              <w:rPr>
                <w:rFonts w:ascii="Calibri" w:hAnsi="Calibri" w:cs="Calibri"/>
                <w:color w:val="000000"/>
                <w:sz w:val="22"/>
                <w:szCs w:val="22"/>
              </w:rPr>
              <w:t> </w:t>
            </w:r>
          </w:p>
        </w:tc>
        <w:tc>
          <w:tcPr>
            <w:tcW w:w="1133" w:type="dxa"/>
            <w:tcBorders>
              <w:top w:val="single" w:sz="8" w:space="0" w:color="000000"/>
              <w:left w:val="nil"/>
              <w:bottom w:val="single" w:sz="8" w:space="0" w:color="000000"/>
              <w:right w:val="dotted" w:sz="4" w:space="0" w:color="auto"/>
            </w:tcBorders>
            <w:shd w:val="clear" w:color="000000" w:fill="FFFFFF"/>
            <w:noWrap/>
            <w:vAlign w:val="center"/>
            <w:hideMark/>
          </w:tcPr>
          <w:p w14:paraId="5F54D2C1"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633.7</w:t>
            </w:r>
          </w:p>
        </w:tc>
        <w:tc>
          <w:tcPr>
            <w:tcW w:w="1616" w:type="dxa"/>
            <w:tcBorders>
              <w:top w:val="single" w:sz="8" w:space="0" w:color="000000"/>
              <w:left w:val="nil"/>
              <w:bottom w:val="single" w:sz="8" w:space="0" w:color="000000"/>
              <w:right w:val="single" w:sz="8" w:space="0" w:color="auto"/>
            </w:tcBorders>
            <w:shd w:val="clear" w:color="000000" w:fill="FFFFFF"/>
            <w:vAlign w:val="center"/>
            <w:hideMark/>
          </w:tcPr>
          <w:p w14:paraId="54261D5D"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7.9</w:t>
            </w:r>
          </w:p>
        </w:tc>
        <w:tc>
          <w:tcPr>
            <w:tcW w:w="1031" w:type="dxa"/>
            <w:tcBorders>
              <w:top w:val="single" w:sz="8" w:space="0" w:color="000000"/>
              <w:left w:val="nil"/>
              <w:bottom w:val="single" w:sz="8" w:space="0" w:color="000000"/>
              <w:right w:val="dotted" w:sz="4" w:space="0" w:color="auto"/>
            </w:tcBorders>
            <w:shd w:val="clear" w:color="000000" w:fill="FFFFFF"/>
            <w:noWrap/>
            <w:vAlign w:val="bottom"/>
            <w:hideMark/>
          </w:tcPr>
          <w:p w14:paraId="55415E2A"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147.6</w:t>
            </w:r>
          </w:p>
        </w:tc>
        <w:tc>
          <w:tcPr>
            <w:tcW w:w="1620" w:type="dxa"/>
            <w:tcBorders>
              <w:top w:val="single" w:sz="8" w:space="0" w:color="000000"/>
              <w:left w:val="nil"/>
              <w:bottom w:val="single" w:sz="8" w:space="0" w:color="000000"/>
              <w:right w:val="single" w:sz="8" w:space="0" w:color="auto"/>
            </w:tcBorders>
            <w:shd w:val="clear" w:color="000000" w:fill="FFFFFF"/>
            <w:vAlign w:val="center"/>
            <w:hideMark/>
          </w:tcPr>
          <w:p w14:paraId="47C641E1"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4.4</w:t>
            </w:r>
          </w:p>
        </w:tc>
        <w:tc>
          <w:tcPr>
            <w:tcW w:w="1440" w:type="dxa"/>
            <w:tcBorders>
              <w:top w:val="single" w:sz="8" w:space="0" w:color="000000"/>
              <w:left w:val="nil"/>
              <w:bottom w:val="single" w:sz="8" w:space="0" w:color="000000"/>
              <w:right w:val="dotted" w:sz="4" w:space="0" w:color="auto"/>
            </w:tcBorders>
            <w:shd w:val="clear" w:color="000000" w:fill="FFFFFF"/>
            <w:noWrap/>
            <w:vAlign w:val="center"/>
            <w:hideMark/>
          </w:tcPr>
          <w:p w14:paraId="1BDA3FAA"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736.0</w:t>
            </w:r>
          </w:p>
        </w:tc>
        <w:tc>
          <w:tcPr>
            <w:tcW w:w="1170" w:type="dxa"/>
            <w:tcBorders>
              <w:top w:val="single" w:sz="8" w:space="0" w:color="000000"/>
              <w:left w:val="nil"/>
              <w:bottom w:val="single" w:sz="8" w:space="0" w:color="000000"/>
              <w:right w:val="single" w:sz="8" w:space="0" w:color="auto"/>
            </w:tcBorders>
            <w:shd w:val="clear" w:color="000000" w:fill="FFFFFF"/>
            <w:vAlign w:val="center"/>
            <w:hideMark/>
          </w:tcPr>
          <w:p w14:paraId="1EC917F4"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7.1</w:t>
            </w:r>
          </w:p>
        </w:tc>
        <w:tc>
          <w:tcPr>
            <w:tcW w:w="1080" w:type="dxa"/>
            <w:tcBorders>
              <w:top w:val="nil"/>
              <w:left w:val="nil"/>
              <w:bottom w:val="single" w:sz="8" w:space="0" w:color="auto"/>
              <w:right w:val="dotted" w:sz="4" w:space="0" w:color="auto"/>
            </w:tcBorders>
            <w:shd w:val="clear" w:color="000000" w:fill="FFFFFF"/>
            <w:vAlign w:val="center"/>
            <w:hideMark/>
          </w:tcPr>
          <w:p w14:paraId="23A8B226"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1517.3</w:t>
            </w:r>
          </w:p>
        </w:tc>
        <w:tc>
          <w:tcPr>
            <w:tcW w:w="1530" w:type="dxa"/>
            <w:tcBorders>
              <w:top w:val="single" w:sz="8" w:space="0" w:color="000000"/>
              <w:left w:val="nil"/>
              <w:bottom w:val="single" w:sz="8" w:space="0" w:color="000000"/>
              <w:right w:val="single" w:sz="8" w:space="0" w:color="auto"/>
            </w:tcBorders>
            <w:shd w:val="clear" w:color="000000" w:fill="FFFFFF"/>
            <w:vAlign w:val="center"/>
            <w:hideMark/>
          </w:tcPr>
          <w:p w14:paraId="19C732B9" w14:textId="77777777" w:rsidR="008B4D33" w:rsidRDefault="008B4D33">
            <w:pPr>
              <w:jc w:val="center"/>
              <w:rPr>
                <w:rFonts w:ascii="Calibri" w:hAnsi="Calibri" w:cs="Calibri"/>
                <w:color w:val="000000"/>
                <w:sz w:val="22"/>
                <w:szCs w:val="22"/>
              </w:rPr>
            </w:pPr>
            <w:r>
              <w:rPr>
                <w:rFonts w:ascii="Calibri" w:hAnsi="Calibri" w:cs="Calibri"/>
                <w:color w:val="000000"/>
                <w:sz w:val="22"/>
                <w:szCs w:val="22"/>
              </w:rPr>
              <w:t>7.0</w:t>
            </w:r>
          </w:p>
        </w:tc>
      </w:tr>
    </w:tbl>
    <w:p w14:paraId="7F0862B2" w14:textId="77777777" w:rsidR="008B4D33" w:rsidRDefault="008B4D33" w:rsidP="005704A8">
      <w:pPr>
        <w:pStyle w:val="NormalWeb"/>
        <w:rPr>
          <w:rFonts w:ascii="Arial" w:hAnsi="Arial" w:cs="Arial"/>
          <w:color w:val="FF0000"/>
          <w:sz w:val="22"/>
          <w:szCs w:val="22"/>
        </w:rPr>
      </w:pPr>
    </w:p>
    <w:p w14:paraId="51FC5E33" w14:textId="67DD751D" w:rsidR="008B4D33" w:rsidRDefault="008B4D33" w:rsidP="0056032F">
      <w:pPr>
        <w:spacing w:after="160" w:line="259" w:lineRule="auto"/>
        <w:rPr>
          <w:rFonts w:ascii="Arial" w:hAnsi="Arial" w:cs="Arial"/>
          <w:sz w:val="32"/>
          <w:szCs w:val="32"/>
        </w:rPr>
        <w:sectPr w:rsidR="008B4D33" w:rsidSect="00FF0338">
          <w:endnotePr>
            <w:numFmt w:val="decimal"/>
            <w:numStart w:val="8"/>
          </w:endnotePr>
          <w:pgSz w:w="15840" w:h="12240" w:orient="landscape" w:code="1"/>
          <w:pgMar w:top="1440" w:right="1440" w:bottom="1440" w:left="1440" w:header="720" w:footer="720" w:gutter="0"/>
          <w:pgNumType w:chapStyle="1"/>
          <w:cols w:space="720"/>
          <w:docGrid w:linePitch="360"/>
        </w:sectPr>
      </w:pPr>
      <w:bookmarkStart w:id="8" w:name="_Hlk45185084"/>
    </w:p>
    <w:p w14:paraId="59B6BCB8" w14:textId="77777777" w:rsidR="008B4D33" w:rsidRPr="00C40AE3" w:rsidRDefault="008B4D33" w:rsidP="00DB6874">
      <w:pPr>
        <w:pStyle w:val="WMP-header3"/>
        <w:outlineLvl w:val="2"/>
      </w:pPr>
      <w:bookmarkStart w:id="9" w:name="_Toc105070932"/>
      <w:bookmarkStart w:id="10" w:name="_Toc111629320"/>
      <w:r w:rsidRPr="00C40AE3">
        <w:lastRenderedPageBreak/>
        <w:t>2.2.4</w:t>
      </w:r>
      <w:r>
        <w:t>.</w:t>
      </w:r>
      <w:r w:rsidRPr="00C40AE3">
        <w:t xml:space="preserve"> Point Sources</w:t>
      </w:r>
      <w:r>
        <w:t xml:space="preserve"> and Permitting</w:t>
      </w:r>
      <w:bookmarkEnd w:id="9"/>
      <w:bookmarkEnd w:id="10"/>
    </w:p>
    <w:p w14:paraId="5272B1CA" w14:textId="13CF81C0" w:rsidR="008B4D33" w:rsidRPr="00652908" w:rsidRDefault="008B4D33" w:rsidP="006E5D33">
      <w:pPr>
        <w:pStyle w:val="NormalWeb"/>
        <w:rPr>
          <w:rFonts w:ascii="Arial" w:hAnsi="Arial"/>
          <w:sz w:val="22"/>
        </w:rPr>
      </w:pPr>
      <w:r>
        <w:rPr>
          <w:rFonts w:ascii="Arial" w:hAnsi="Arial" w:cs="Arial"/>
          <w:sz w:val="22"/>
          <w:szCs w:val="22"/>
        </w:rPr>
        <w:t>D</w:t>
      </w:r>
      <w:r w:rsidRPr="00905F17">
        <w:rPr>
          <w:rFonts w:ascii="Arial" w:hAnsi="Arial" w:cs="Arial"/>
          <w:sz w:val="22"/>
          <w:szCs w:val="22"/>
        </w:rPr>
        <w:t>ue t</w:t>
      </w:r>
      <w:r>
        <w:rPr>
          <w:rFonts w:ascii="Arial" w:hAnsi="Arial" w:cs="Arial"/>
          <w:sz w:val="22"/>
          <w:szCs w:val="22"/>
        </w:rPr>
        <w:t>o</w:t>
      </w:r>
      <w:r w:rsidRPr="00905F17">
        <w:rPr>
          <w:rFonts w:ascii="Arial" w:hAnsi="Arial" w:cs="Arial"/>
          <w:sz w:val="22"/>
          <w:szCs w:val="22"/>
        </w:rPr>
        <w:t xml:space="preserve"> </w:t>
      </w:r>
      <w:r w:rsidRPr="0087012F">
        <w:rPr>
          <w:rFonts w:ascii="Arial" w:hAnsi="Arial" w:cs="Arial"/>
          <w:sz w:val="22"/>
          <w:szCs w:val="22"/>
        </w:rPr>
        <w:t xml:space="preserve">the </w:t>
      </w:r>
      <w:r w:rsidRPr="00EF6A41">
        <w:rPr>
          <w:rFonts w:ascii="Arial" w:hAnsi="Arial" w:cs="Arial"/>
          <w:sz w:val="22"/>
          <w:szCs w:val="22"/>
        </w:rPr>
        <w:t>nutrient TMDL</w:t>
      </w:r>
      <w:r>
        <w:rPr>
          <w:rFonts w:ascii="Arial" w:hAnsi="Arial" w:cs="Arial"/>
          <w:sz w:val="22"/>
          <w:szCs w:val="22"/>
        </w:rPr>
        <w:t>s</w:t>
      </w:r>
      <w:r w:rsidRPr="00EF6A41">
        <w:rPr>
          <w:rFonts w:ascii="Arial" w:hAnsi="Arial" w:cs="Arial"/>
          <w:sz w:val="22"/>
          <w:szCs w:val="22"/>
        </w:rPr>
        <w:t xml:space="preserve"> </w:t>
      </w:r>
      <w:r w:rsidRPr="001A6FF5">
        <w:rPr>
          <w:rFonts w:ascii="Arial" w:hAnsi="Arial" w:cs="Arial"/>
          <w:sz w:val="22"/>
          <w:szCs w:val="22"/>
        </w:rPr>
        <w:t xml:space="preserve">in </w:t>
      </w:r>
      <w:r w:rsidRPr="00497B59">
        <w:rPr>
          <w:rFonts w:ascii="Arial" w:hAnsi="Arial" w:cs="Arial"/>
          <w:sz w:val="22"/>
          <w:szCs w:val="22"/>
        </w:rPr>
        <w:t xml:space="preserve">Ford and Belleville Lakes, waste load allocations for phosphorus contributions from permitted point sources have been established in all upstream contributing portions of the Huron River </w:t>
      </w:r>
      <w:r>
        <w:rPr>
          <w:rFonts w:ascii="Arial" w:hAnsi="Arial" w:cs="Arial"/>
          <w:sz w:val="22"/>
          <w:szCs w:val="22"/>
        </w:rPr>
        <w:t>w</w:t>
      </w:r>
      <w:r w:rsidRPr="00497B59">
        <w:rPr>
          <w:rFonts w:ascii="Arial" w:hAnsi="Arial" w:cs="Arial"/>
          <w:sz w:val="22"/>
          <w:szCs w:val="22"/>
        </w:rPr>
        <w:t xml:space="preserve">atershed. </w:t>
      </w:r>
      <w:r w:rsidRPr="00051CE6">
        <w:rPr>
          <w:rFonts w:ascii="Arial" w:hAnsi="Arial"/>
          <w:sz w:val="22"/>
        </w:rPr>
        <w:t xml:space="preserve">These waste load allocations </w:t>
      </w:r>
      <w:r>
        <w:rPr>
          <w:rFonts w:ascii="Arial" w:hAnsi="Arial"/>
          <w:sz w:val="22"/>
        </w:rPr>
        <w:t xml:space="preserve">set goals </w:t>
      </w:r>
      <w:r w:rsidRPr="00051CE6">
        <w:rPr>
          <w:rFonts w:ascii="Arial" w:hAnsi="Arial"/>
          <w:sz w:val="22"/>
        </w:rPr>
        <w:t xml:space="preserve">on the </w:t>
      </w:r>
      <w:r>
        <w:rPr>
          <w:rFonts w:ascii="Arial" w:hAnsi="Arial"/>
          <w:sz w:val="22"/>
        </w:rPr>
        <w:t xml:space="preserve">maximum </w:t>
      </w:r>
      <w:r w:rsidRPr="00051CE6">
        <w:rPr>
          <w:rFonts w:ascii="Arial" w:hAnsi="Arial"/>
          <w:sz w:val="22"/>
        </w:rPr>
        <w:t xml:space="preserve">amount of phosphorus that </w:t>
      </w:r>
      <w:r>
        <w:rPr>
          <w:rFonts w:ascii="Arial" w:hAnsi="Arial"/>
          <w:sz w:val="22"/>
        </w:rPr>
        <w:t xml:space="preserve">should </w:t>
      </w:r>
      <w:r w:rsidRPr="00051CE6">
        <w:rPr>
          <w:rFonts w:ascii="Arial" w:hAnsi="Arial"/>
          <w:sz w:val="22"/>
        </w:rPr>
        <w:t xml:space="preserve">be discharged into waters flowing to these TMDL areas. </w:t>
      </w:r>
      <w:r>
        <w:rPr>
          <w:rFonts w:ascii="Arial" w:hAnsi="Arial"/>
          <w:sz w:val="22"/>
        </w:rPr>
        <w:t xml:space="preserve">These limits are considered when </w:t>
      </w:r>
      <w:r w:rsidRPr="00051CE6">
        <w:rPr>
          <w:rFonts w:ascii="Arial" w:hAnsi="Arial"/>
          <w:sz w:val="22"/>
        </w:rPr>
        <w:t>determining the amount of phosphorus that may be discharged by existing</w:t>
      </w:r>
      <w:r>
        <w:rPr>
          <w:rFonts w:ascii="Arial" w:hAnsi="Arial"/>
          <w:sz w:val="22"/>
        </w:rPr>
        <w:t xml:space="preserve"> National Pollutant Discharge Elimination System (</w:t>
      </w:r>
      <w:r w:rsidRPr="00051CE6">
        <w:rPr>
          <w:rFonts w:ascii="Arial" w:hAnsi="Arial"/>
          <w:sz w:val="22"/>
        </w:rPr>
        <w:t>NPDES</w:t>
      </w:r>
      <w:r>
        <w:rPr>
          <w:rFonts w:ascii="Arial" w:hAnsi="Arial"/>
          <w:sz w:val="22"/>
        </w:rPr>
        <w:t>)</w:t>
      </w:r>
      <w:r w:rsidRPr="00051CE6">
        <w:rPr>
          <w:rFonts w:ascii="Arial" w:hAnsi="Arial"/>
          <w:sz w:val="22"/>
        </w:rPr>
        <w:t xml:space="preserve"> permittees. </w:t>
      </w:r>
      <w:r>
        <w:rPr>
          <w:rFonts w:ascii="Arial" w:hAnsi="Arial"/>
          <w:sz w:val="22"/>
        </w:rPr>
        <w:t xml:space="preserve">The TMDL may </w:t>
      </w:r>
      <w:r w:rsidRPr="00051CE6">
        <w:rPr>
          <w:rFonts w:ascii="Arial" w:hAnsi="Arial"/>
          <w:sz w:val="22"/>
        </w:rPr>
        <w:t xml:space="preserve">also factor into determining whether additional phosphorus-discharging facilities may be permitted to </w:t>
      </w:r>
      <w:r w:rsidRPr="00652908">
        <w:rPr>
          <w:rFonts w:ascii="Arial" w:hAnsi="Arial"/>
          <w:sz w:val="22"/>
        </w:rPr>
        <w:t>locate in a TMDL area, and what their discharge limits may be.</w:t>
      </w:r>
      <w:r w:rsidRPr="00652908">
        <w:rPr>
          <w:rFonts w:ascii="Arial" w:hAnsi="Arial" w:cs="Arial"/>
          <w:sz w:val="22"/>
          <w:szCs w:val="22"/>
        </w:rPr>
        <w:t xml:space="preserve">  </w:t>
      </w:r>
    </w:p>
    <w:p w14:paraId="5883B356" w14:textId="69261CDC" w:rsidR="008B4D33" w:rsidRDefault="008B4D33" w:rsidP="006E5D33">
      <w:pPr>
        <w:pStyle w:val="NormalWeb"/>
        <w:spacing w:before="0" w:beforeAutospacing="0" w:after="0" w:afterAutospacing="0"/>
        <w:rPr>
          <w:rFonts w:ascii="Arial" w:hAnsi="Arial" w:cs="Arial"/>
          <w:color w:val="000000"/>
          <w:sz w:val="22"/>
          <w:szCs w:val="22"/>
        </w:rPr>
      </w:pPr>
      <w:r w:rsidRPr="00652908">
        <w:rPr>
          <w:rFonts w:ascii="Arial" w:hAnsi="Arial" w:cs="Arial"/>
          <w:color w:val="000000"/>
          <w:sz w:val="22"/>
          <w:szCs w:val="22"/>
        </w:rPr>
        <w:t>There are several point source facilities in the Watershed that hold NPDES permits issued by the State of Michigan</w:t>
      </w:r>
      <w:r>
        <w:rPr>
          <w:rFonts w:ascii="Arial" w:hAnsi="Arial" w:cs="Arial"/>
          <w:color w:val="000000"/>
          <w:sz w:val="22"/>
          <w:szCs w:val="22"/>
        </w:rPr>
        <w:t xml:space="preserve">, and the discharge points were mapped in </w:t>
      </w:r>
      <w:r w:rsidRPr="00652908">
        <w:rPr>
          <w:rFonts w:ascii="Arial" w:hAnsi="Arial" w:cs="Arial"/>
          <w:color w:val="000000"/>
          <w:sz w:val="22"/>
          <w:szCs w:val="22"/>
        </w:rPr>
        <w:t>Figure 2.15.</w:t>
      </w:r>
      <w:r w:rsidRPr="00652908">
        <w:rPr>
          <w:rFonts w:ascii="Arial" w:hAnsi="Arial" w:cs="Arial"/>
          <w:color w:val="FF0000"/>
          <w:sz w:val="22"/>
          <w:szCs w:val="22"/>
        </w:rPr>
        <w:t xml:space="preserve"> </w:t>
      </w:r>
      <w:r w:rsidRPr="00652908">
        <w:rPr>
          <w:rFonts w:ascii="Arial" w:hAnsi="Arial" w:cs="Arial"/>
          <w:color w:val="000000"/>
          <w:sz w:val="22"/>
          <w:szCs w:val="22"/>
        </w:rPr>
        <w:t>The number of permitted point sources is not static due to expiring old permits and activation of new permits.</w:t>
      </w:r>
      <w:r>
        <w:rPr>
          <w:rFonts w:ascii="Arial" w:hAnsi="Arial" w:cs="Arial"/>
          <w:color w:val="000000"/>
          <w:sz w:val="22"/>
          <w:szCs w:val="22"/>
        </w:rPr>
        <w:t xml:space="preserve"> More information can be found on any point by using EGLE’s </w:t>
      </w:r>
      <w:proofErr w:type="spellStart"/>
      <w:r>
        <w:rPr>
          <w:rFonts w:ascii="Arial" w:hAnsi="Arial" w:cs="Arial"/>
          <w:color w:val="000000"/>
          <w:sz w:val="22"/>
          <w:szCs w:val="22"/>
        </w:rPr>
        <w:t>MiWaters</w:t>
      </w:r>
      <w:proofErr w:type="spellEnd"/>
      <w:r>
        <w:rPr>
          <w:rFonts w:ascii="Arial" w:hAnsi="Arial" w:cs="Arial"/>
          <w:color w:val="000000"/>
          <w:sz w:val="22"/>
          <w:szCs w:val="22"/>
        </w:rPr>
        <w:t xml:space="preserve"> tool. </w:t>
      </w:r>
      <w:r>
        <w:rPr>
          <w:rStyle w:val="EndnoteReference"/>
          <w:rFonts w:ascii="Arial" w:hAnsi="Arial" w:cs="Arial"/>
          <w:color w:val="000000"/>
          <w:sz w:val="22"/>
          <w:szCs w:val="22"/>
        </w:rPr>
        <w:endnoteReference w:id="9"/>
      </w:r>
    </w:p>
    <w:p w14:paraId="55B26F85" w14:textId="77777777" w:rsidR="008B4D33" w:rsidRPr="00652908" w:rsidRDefault="008B4D33" w:rsidP="006E5D33">
      <w:pPr>
        <w:pStyle w:val="NormalWeb"/>
        <w:spacing w:before="0" w:beforeAutospacing="0" w:after="0" w:afterAutospacing="0"/>
        <w:rPr>
          <w:rFonts w:ascii="Arial" w:hAnsi="Arial" w:cs="Arial"/>
          <w:color w:val="000000"/>
          <w:sz w:val="22"/>
          <w:szCs w:val="22"/>
        </w:rPr>
      </w:pPr>
    </w:p>
    <w:p w14:paraId="35983C76" w14:textId="23D8932E" w:rsidR="008B4D33" w:rsidRPr="00652908" w:rsidRDefault="008B4D33" w:rsidP="00EF1EBC">
      <w:pPr>
        <w:pStyle w:val="NormalWeb"/>
        <w:spacing w:before="0" w:beforeAutospacing="0" w:after="0" w:afterAutospacing="0"/>
        <w:rPr>
          <w:rFonts w:ascii="Arial" w:hAnsi="Arial" w:cs="Arial"/>
          <w:sz w:val="22"/>
          <w:szCs w:val="22"/>
        </w:rPr>
      </w:pPr>
      <w:r w:rsidRPr="00652908">
        <w:rPr>
          <w:rFonts w:ascii="Arial" w:hAnsi="Arial" w:cs="Arial"/>
          <w:color w:val="000000"/>
          <w:sz w:val="22"/>
          <w:szCs w:val="22"/>
        </w:rPr>
        <w:t xml:space="preserve">As of </w:t>
      </w:r>
      <w:r>
        <w:rPr>
          <w:rFonts w:ascii="Arial" w:hAnsi="Arial" w:cs="Arial"/>
          <w:color w:val="000000"/>
          <w:sz w:val="22"/>
          <w:szCs w:val="22"/>
        </w:rPr>
        <w:t>July</w:t>
      </w:r>
      <w:r w:rsidRPr="00652908">
        <w:rPr>
          <w:rFonts w:ascii="Arial" w:hAnsi="Arial" w:cs="Arial"/>
          <w:color w:val="000000"/>
          <w:sz w:val="22"/>
          <w:szCs w:val="22"/>
        </w:rPr>
        <w:t xml:space="preserve"> 2023</w:t>
      </w:r>
      <w:r>
        <w:rPr>
          <w:rFonts w:ascii="Arial" w:hAnsi="Arial" w:cs="Arial"/>
          <w:color w:val="000000"/>
          <w:sz w:val="22"/>
          <w:szCs w:val="22"/>
        </w:rPr>
        <w:t>,</w:t>
      </w:r>
      <w:r w:rsidRPr="00652908">
        <w:rPr>
          <w:rFonts w:ascii="Arial" w:hAnsi="Arial" w:cs="Arial"/>
          <w:color w:val="000000"/>
          <w:sz w:val="22"/>
          <w:szCs w:val="22"/>
        </w:rPr>
        <w:t xml:space="preserve"> according to EGLE’s </w:t>
      </w:r>
      <w:r>
        <w:rPr>
          <w:rFonts w:ascii="Arial" w:hAnsi="Arial" w:cs="Arial"/>
          <w:color w:val="000000"/>
          <w:sz w:val="22"/>
          <w:szCs w:val="22"/>
        </w:rPr>
        <w:t>Water Resources Division Permits Section</w:t>
      </w:r>
      <w:r w:rsidRPr="00652908">
        <w:rPr>
          <w:rFonts w:ascii="Arial" w:hAnsi="Arial" w:cs="Arial"/>
          <w:color w:val="000000"/>
          <w:sz w:val="22"/>
          <w:szCs w:val="22"/>
        </w:rPr>
        <w:t xml:space="preserve">, </w:t>
      </w:r>
      <w:r>
        <w:rPr>
          <w:rFonts w:ascii="Arial" w:hAnsi="Arial" w:cs="Arial"/>
          <w:color w:val="000000"/>
          <w:sz w:val="22"/>
          <w:szCs w:val="22"/>
        </w:rPr>
        <w:t>12</w:t>
      </w:r>
      <w:r w:rsidRPr="00652908">
        <w:rPr>
          <w:rFonts w:ascii="Arial" w:hAnsi="Arial" w:cs="Arial"/>
          <w:color w:val="000000"/>
          <w:sz w:val="22"/>
          <w:szCs w:val="22"/>
        </w:rPr>
        <w:t xml:space="preserve"> permits were in issuance</w:t>
      </w:r>
      <w:r>
        <w:rPr>
          <w:rFonts w:ascii="Arial" w:hAnsi="Arial" w:cs="Arial"/>
          <w:color w:val="000000"/>
          <w:sz w:val="22"/>
          <w:szCs w:val="22"/>
        </w:rPr>
        <w:t xml:space="preserve"> that di</w:t>
      </w:r>
      <w:r w:rsidRPr="00652908">
        <w:rPr>
          <w:rFonts w:ascii="Arial" w:hAnsi="Arial" w:cs="Arial"/>
          <w:sz w:val="22"/>
          <w:szCs w:val="22"/>
        </w:rPr>
        <w:t xml:space="preserve">scharge include the Huron River, streams or drains, and impoundments </w:t>
      </w:r>
      <w:r>
        <w:rPr>
          <w:rFonts w:ascii="Arial" w:hAnsi="Arial" w:cs="Arial"/>
          <w:sz w:val="22"/>
          <w:szCs w:val="22"/>
        </w:rPr>
        <w:t xml:space="preserve">in the Watershed. </w:t>
      </w:r>
    </w:p>
    <w:p w14:paraId="4F83BC5D" w14:textId="2C54593E" w:rsidR="008B4D33" w:rsidRPr="00652908" w:rsidRDefault="008B4D33" w:rsidP="006E5D33">
      <w:pPr>
        <w:pStyle w:val="NormalWeb"/>
        <w:spacing w:before="0" w:beforeAutospacing="0" w:after="0" w:afterAutospacing="0"/>
        <w:rPr>
          <w:rFonts w:ascii="Arial" w:hAnsi="Arial" w:cs="Arial"/>
          <w:sz w:val="22"/>
          <w:szCs w:val="22"/>
        </w:rPr>
      </w:pPr>
    </w:p>
    <w:p w14:paraId="6263679F" w14:textId="6F6369CA" w:rsidR="008B4D33" w:rsidRDefault="008B4D33" w:rsidP="006E5D33">
      <w:pPr>
        <w:pStyle w:val="NormalWeb"/>
        <w:spacing w:before="0" w:beforeAutospacing="0" w:after="0" w:afterAutospacing="0"/>
        <w:rPr>
          <w:rFonts w:ascii="Arial" w:hAnsi="Arial" w:cs="Arial"/>
          <w:sz w:val="22"/>
          <w:szCs w:val="22"/>
        </w:rPr>
      </w:pPr>
      <w:r w:rsidRPr="00652908">
        <w:rPr>
          <w:rFonts w:ascii="Arial" w:hAnsi="Arial" w:cs="Arial"/>
          <w:sz w:val="22"/>
          <w:szCs w:val="22"/>
        </w:rPr>
        <w:t xml:space="preserve">Individual Permits are written to reflect site-specific conditions of a single discharger and </w:t>
      </w:r>
      <w:proofErr w:type="gramStart"/>
      <w:r w:rsidRPr="00652908">
        <w:rPr>
          <w:rFonts w:ascii="Arial" w:hAnsi="Arial" w:cs="Arial"/>
          <w:sz w:val="22"/>
          <w:szCs w:val="22"/>
        </w:rPr>
        <w:t>is</w:t>
      </w:r>
      <w:proofErr w:type="gramEnd"/>
      <w:r w:rsidRPr="00652908">
        <w:rPr>
          <w:rFonts w:ascii="Arial" w:hAnsi="Arial" w:cs="Arial"/>
          <w:sz w:val="22"/>
          <w:szCs w:val="22"/>
        </w:rPr>
        <w:t xml:space="preserve"> unique to that discharger. There were </w:t>
      </w:r>
      <w:r>
        <w:rPr>
          <w:rFonts w:ascii="Arial" w:hAnsi="Arial" w:cs="Arial"/>
          <w:sz w:val="22"/>
          <w:szCs w:val="22"/>
        </w:rPr>
        <w:t>3</w:t>
      </w:r>
      <w:r w:rsidRPr="00652908">
        <w:rPr>
          <w:rFonts w:ascii="Arial" w:hAnsi="Arial" w:cs="Arial"/>
          <w:sz w:val="22"/>
          <w:szCs w:val="22"/>
        </w:rPr>
        <w:t xml:space="preserve"> of these in the Watershed</w:t>
      </w:r>
      <w:r>
        <w:rPr>
          <w:rFonts w:ascii="Arial" w:hAnsi="Arial" w:cs="Arial"/>
          <w:sz w:val="22"/>
          <w:szCs w:val="22"/>
        </w:rPr>
        <w:t xml:space="preserve"> as of July 2023</w:t>
      </w:r>
      <w:r w:rsidRPr="00652908">
        <w:rPr>
          <w:rFonts w:ascii="Arial" w:hAnsi="Arial" w:cs="Arial"/>
          <w:sz w:val="22"/>
          <w:szCs w:val="22"/>
        </w:rPr>
        <w:t>.</w:t>
      </w:r>
    </w:p>
    <w:p w14:paraId="0E033534" w14:textId="77777777" w:rsidR="008B4D33" w:rsidRDefault="008B4D33" w:rsidP="006E5D33">
      <w:pPr>
        <w:pStyle w:val="NormalWeb"/>
        <w:spacing w:before="0" w:beforeAutospacing="0" w:after="0" w:afterAutospacing="0"/>
        <w:rPr>
          <w:rFonts w:ascii="Arial" w:hAnsi="Arial" w:cs="Arial"/>
          <w:sz w:val="22"/>
          <w:szCs w:val="22"/>
        </w:rPr>
      </w:pPr>
    </w:p>
    <w:p w14:paraId="07D089BF" w14:textId="340E2D83" w:rsidR="008B4D33" w:rsidRDefault="008B4D33" w:rsidP="002C000D">
      <w:pPr>
        <w:pStyle w:val="NormalWeb"/>
        <w:numPr>
          <w:ilvl w:val="0"/>
          <w:numId w:val="2"/>
        </w:numPr>
        <w:spacing w:before="0" w:beforeAutospacing="0" w:after="0" w:afterAutospacing="0"/>
        <w:rPr>
          <w:rFonts w:ascii="Arial" w:hAnsi="Arial" w:cs="Arial"/>
          <w:sz w:val="22"/>
          <w:szCs w:val="22"/>
        </w:rPr>
      </w:pPr>
      <w:r>
        <w:rPr>
          <w:rFonts w:ascii="Arial" w:hAnsi="Arial" w:cs="Arial"/>
          <w:sz w:val="22"/>
          <w:szCs w:val="22"/>
        </w:rPr>
        <w:t>MI0060221—Willow Run Airport MS4</w:t>
      </w:r>
    </w:p>
    <w:p w14:paraId="2EAC34F2" w14:textId="772A15E3" w:rsidR="008B4D33" w:rsidRDefault="008B4D33" w:rsidP="002C000D">
      <w:pPr>
        <w:pStyle w:val="NormalWeb"/>
        <w:numPr>
          <w:ilvl w:val="0"/>
          <w:numId w:val="2"/>
        </w:numPr>
        <w:spacing w:before="0" w:beforeAutospacing="0" w:after="0" w:afterAutospacing="0"/>
        <w:rPr>
          <w:rFonts w:ascii="Arial" w:hAnsi="Arial" w:cs="Arial"/>
          <w:sz w:val="22"/>
          <w:szCs w:val="22"/>
        </w:rPr>
      </w:pPr>
      <w:r>
        <w:rPr>
          <w:rFonts w:ascii="Arial" w:hAnsi="Arial" w:cs="Arial"/>
          <w:sz w:val="22"/>
          <w:szCs w:val="22"/>
        </w:rPr>
        <w:t>MI0056413—Wayne Disposal Inc, stormwater</w:t>
      </w:r>
    </w:p>
    <w:p w14:paraId="4EC992F7" w14:textId="6597AFC8" w:rsidR="008B4D33" w:rsidRDefault="008B4D33" w:rsidP="002C000D">
      <w:pPr>
        <w:pStyle w:val="NormalWeb"/>
        <w:numPr>
          <w:ilvl w:val="0"/>
          <w:numId w:val="2"/>
        </w:numPr>
        <w:spacing w:before="0" w:beforeAutospacing="0" w:after="0" w:afterAutospacing="0"/>
        <w:rPr>
          <w:rFonts w:ascii="Arial" w:hAnsi="Arial" w:cs="Arial"/>
          <w:sz w:val="22"/>
          <w:szCs w:val="22"/>
        </w:rPr>
      </w:pPr>
      <w:r>
        <w:rPr>
          <w:rFonts w:ascii="Arial" w:hAnsi="Arial" w:cs="Arial"/>
          <w:sz w:val="22"/>
          <w:szCs w:val="22"/>
        </w:rPr>
        <w:t>MI0059159—Rock Ridge Estates, (discharge type not listed)</w:t>
      </w:r>
    </w:p>
    <w:p w14:paraId="00068430" w14:textId="420022EE" w:rsidR="008B4D33" w:rsidRDefault="008B4D33" w:rsidP="00E55C02">
      <w:pPr>
        <w:pStyle w:val="NormalWeb"/>
        <w:numPr>
          <w:ilvl w:val="0"/>
          <w:numId w:val="2"/>
        </w:numPr>
        <w:spacing w:before="0" w:beforeAutospacing="0" w:after="0" w:afterAutospacing="0"/>
        <w:rPr>
          <w:rFonts w:ascii="Arial" w:hAnsi="Arial" w:cs="Arial"/>
          <w:sz w:val="22"/>
          <w:szCs w:val="22"/>
        </w:rPr>
      </w:pPr>
      <w:r w:rsidRPr="00147406">
        <w:rPr>
          <w:rFonts w:ascii="Arial" w:hAnsi="Arial" w:cs="Arial"/>
          <w:sz w:val="22"/>
          <w:szCs w:val="22"/>
        </w:rPr>
        <w:t>MI0022217 and NEC187195—Ann Arbor Wastewater Treatment Plant (just upstream of Watershed), wastewater and industrial stormwater</w:t>
      </w:r>
    </w:p>
    <w:p w14:paraId="1262CB54" w14:textId="77777777" w:rsidR="008B4D33" w:rsidRPr="00147406" w:rsidRDefault="008B4D33" w:rsidP="00147406">
      <w:pPr>
        <w:pStyle w:val="NormalWeb"/>
        <w:spacing w:before="0" w:beforeAutospacing="0" w:after="0" w:afterAutospacing="0"/>
        <w:ind w:left="720"/>
        <w:rPr>
          <w:rFonts w:ascii="Arial" w:hAnsi="Arial" w:cs="Arial"/>
          <w:sz w:val="22"/>
          <w:szCs w:val="22"/>
        </w:rPr>
      </w:pPr>
    </w:p>
    <w:p w14:paraId="1CB947E9" w14:textId="31907DE4" w:rsidR="008B4D33" w:rsidRPr="00652908" w:rsidRDefault="008B4D33" w:rsidP="006E5D33">
      <w:pPr>
        <w:pStyle w:val="NormalWeb"/>
        <w:spacing w:before="0" w:beforeAutospacing="0" w:after="0" w:afterAutospacing="0"/>
        <w:rPr>
          <w:rFonts w:ascii="Arial" w:hAnsi="Arial" w:cs="Arial"/>
          <w:sz w:val="22"/>
          <w:szCs w:val="22"/>
        </w:rPr>
      </w:pPr>
      <w:r>
        <w:rPr>
          <w:rFonts w:ascii="Arial" w:hAnsi="Arial" w:cs="Arial"/>
          <w:sz w:val="22"/>
          <w:szCs w:val="22"/>
        </w:rPr>
        <w:t>7</w:t>
      </w:r>
      <w:r w:rsidRPr="00652908">
        <w:rPr>
          <w:rFonts w:ascii="Arial" w:hAnsi="Arial" w:cs="Arial"/>
          <w:sz w:val="22"/>
          <w:szCs w:val="22"/>
        </w:rPr>
        <w:t xml:space="preserve"> of the permits were for </w:t>
      </w:r>
      <w:proofErr w:type="gramStart"/>
      <w:r w:rsidRPr="00652908">
        <w:rPr>
          <w:rFonts w:ascii="Arial" w:hAnsi="Arial" w:cs="Arial"/>
          <w:sz w:val="22"/>
          <w:szCs w:val="22"/>
        </w:rPr>
        <w:t>NPDES</w:t>
      </w:r>
      <w:proofErr w:type="gramEnd"/>
      <w:r w:rsidRPr="00652908">
        <w:rPr>
          <w:rFonts w:ascii="Arial" w:hAnsi="Arial" w:cs="Arial"/>
          <w:sz w:val="22"/>
          <w:szCs w:val="22"/>
        </w:rPr>
        <w:t xml:space="preserve"> Certificate of Coverage under General Permit (COC). General permits contain effluent limitations protective of most surface waters statewide but are not tailored to a specific permittee.</w:t>
      </w:r>
    </w:p>
    <w:p w14:paraId="0B0877F6" w14:textId="77777777" w:rsidR="008B4D33" w:rsidRDefault="008B4D33" w:rsidP="006E5D33">
      <w:pPr>
        <w:pStyle w:val="NormalWeb"/>
        <w:spacing w:before="0" w:beforeAutospacing="0" w:after="0" w:afterAutospacing="0"/>
        <w:rPr>
          <w:rFonts w:ascii="Arial" w:hAnsi="Arial" w:cs="Arial"/>
          <w:sz w:val="22"/>
          <w:szCs w:val="22"/>
        </w:rPr>
      </w:pPr>
    </w:p>
    <w:p w14:paraId="29F11F19" w14:textId="24A89F1B" w:rsidR="008B4D33" w:rsidRDefault="008B4D33" w:rsidP="002C000D">
      <w:pPr>
        <w:pStyle w:val="NormalWeb"/>
        <w:numPr>
          <w:ilvl w:val="0"/>
          <w:numId w:val="3"/>
        </w:numPr>
        <w:spacing w:before="0" w:beforeAutospacing="0" w:after="0" w:afterAutospacing="0"/>
        <w:rPr>
          <w:rFonts w:ascii="Arial" w:hAnsi="Arial" w:cs="Arial"/>
          <w:sz w:val="22"/>
          <w:szCs w:val="22"/>
        </w:rPr>
      </w:pPr>
      <w:r>
        <w:rPr>
          <w:rFonts w:ascii="Arial" w:hAnsi="Arial" w:cs="Arial"/>
          <w:sz w:val="22"/>
          <w:szCs w:val="22"/>
        </w:rPr>
        <w:t>MIG081222- Sunoco, petroleum contaminated wastewater</w:t>
      </w:r>
    </w:p>
    <w:p w14:paraId="33B24841" w14:textId="44FCA4C5" w:rsidR="008B4D33" w:rsidRDefault="008B4D33" w:rsidP="002C000D">
      <w:pPr>
        <w:pStyle w:val="NormalWeb"/>
        <w:numPr>
          <w:ilvl w:val="0"/>
          <w:numId w:val="3"/>
        </w:numPr>
        <w:spacing w:before="0" w:beforeAutospacing="0" w:after="0" w:afterAutospacing="0"/>
        <w:rPr>
          <w:rFonts w:ascii="Arial" w:hAnsi="Arial" w:cs="Arial"/>
          <w:sz w:val="22"/>
          <w:szCs w:val="22"/>
        </w:rPr>
      </w:pPr>
      <w:r>
        <w:rPr>
          <w:rFonts w:ascii="Arial" w:hAnsi="Arial" w:cs="Arial"/>
          <w:sz w:val="22"/>
          <w:szCs w:val="22"/>
        </w:rPr>
        <w:t xml:space="preserve">MIS410025- Marsh Plating Corp, Industrial stormwater </w:t>
      </w:r>
    </w:p>
    <w:p w14:paraId="56B653FF" w14:textId="6EAA2A8B" w:rsidR="008B4D33" w:rsidRDefault="008B4D33" w:rsidP="002C000D">
      <w:pPr>
        <w:pStyle w:val="NormalWeb"/>
        <w:numPr>
          <w:ilvl w:val="0"/>
          <w:numId w:val="3"/>
        </w:numPr>
        <w:spacing w:before="0" w:beforeAutospacing="0" w:after="0" w:afterAutospacing="0"/>
        <w:rPr>
          <w:rFonts w:ascii="Arial" w:hAnsi="Arial" w:cs="Arial"/>
          <w:sz w:val="22"/>
          <w:szCs w:val="22"/>
        </w:rPr>
      </w:pPr>
      <w:r>
        <w:rPr>
          <w:rFonts w:ascii="Arial" w:hAnsi="Arial" w:cs="Arial"/>
          <w:sz w:val="22"/>
          <w:szCs w:val="22"/>
        </w:rPr>
        <w:t xml:space="preserve">MIS410057- Ford-Rawsonville Plant, Industrial stormwater </w:t>
      </w:r>
    </w:p>
    <w:p w14:paraId="304322DD" w14:textId="23DDE651" w:rsidR="008B4D33" w:rsidRDefault="008B4D33" w:rsidP="002C000D">
      <w:pPr>
        <w:pStyle w:val="NormalWeb"/>
        <w:numPr>
          <w:ilvl w:val="0"/>
          <w:numId w:val="3"/>
        </w:numPr>
        <w:spacing w:before="0" w:beforeAutospacing="0" w:after="0" w:afterAutospacing="0"/>
        <w:rPr>
          <w:rFonts w:ascii="Arial" w:hAnsi="Arial" w:cs="Arial"/>
          <w:sz w:val="22"/>
          <w:szCs w:val="22"/>
        </w:rPr>
      </w:pPr>
      <w:r>
        <w:rPr>
          <w:rFonts w:ascii="Arial" w:hAnsi="Arial" w:cs="Arial"/>
          <w:sz w:val="22"/>
          <w:szCs w:val="22"/>
        </w:rPr>
        <w:t xml:space="preserve">MIS410138- </w:t>
      </w:r>
      <w:r w:rsidRPr="00217EAE">
        <w:rPr>
          <w:rFonts w:ascii="Arial" w:hAnsi="Arial" w:cs="Arial"/>
          <w:sz w:val="22"/>
          <w:szCs w:val="22"/>
        </w:rPr>
        <w:t>Cadillac Asphalt LLC</w:t>
      </w:r>
      <w:r>
        <w:rPr>
          <w:rFonts w:ascii="Arial" w:hAnsi="Arial" w:cs="Arial"/>
          <w:sz w:val="22"/>
          <w:szCs w:val="22"/>
        </w:rPr>
        <w:t xml:space="preserve">, Industrial stormwater </w:t>
      </w:r>
    </w:p>
    <w:p w14:paraId="337D4D43" w14:textId="09A6B9B5" w:rsidR="008B4D33" w:rsidRDefault="008B4D33" w:rsidP="002C000D">
      <w:pPr>
        <w:pStyle w:val="NormalWeb"/>
        <w:numPr>
          <w:ilvl w:val="0"/>
          <w:numId w:val="3"/>
        </w:numPr>
        <w:spacing w:before="0" w:beforeAutospacing="0" w:after="0" w:afterAutospacing="0"/>
        <w:rPr>
          <w:rFonts w:ascii="Arial" w:hAnsi="Arial" w:cs="Arial"/>
          <w:sz w:val="22"/>
          <w:szCs w:val="22"/>
        </w:rPr>
      </w:pPr>
      <w:r>
        <w:rPr>
          <w:rFonts w:ascii="Arial" w:hAnsi="Arial" w:cs="Arial"/>
          <w:sz w:val="22"/>
          <w:szCs w:val="22"/>
        </w:rPr>
        <w:t xml:space="preserve">MIS410590- </w:t>
      </w:r>
      <w:r w:rsidRPr="00B948D7">
        <w:rPr>
          <w:rFonts w:ascii="Arial" w:hAnsi="Arial" w:cs="Arial"/>
          <w:sz w:val="22"/>
          <w:szCs w:val="22"/>
        </w:rPr>
        <w:t>R &amp; L Carriers</w:t>
      </w:r>
      <w:r>
        <w:rPr>
          <w:rFonts w:ascii="Arial" w:hAnsi="Arial" w:cs="Arial"/>
          <w:sz w:val="22"/>
          <w:szCs w:val="22"/>
        </w:rPr>
        <w:t xml:space="preserve">, Industrial stormwater </w:t>
      </w:r>
    </w:p>
    <w:p w14:paraId="7283D05C" w14:textId="44D97AF2" w:rsidR="008B4D33" w:rsidRDefault="008B4D33" w:rsidP="002C000D">
      <w:pPr>
        <w:pStyle w:val="NormalWeb"/>
        <w:numPr>
          <w:ilvl w:val="0"/>
          <w:numId w:val="3"/>
        </w:numPr>
        <w:spacing w:before="0" w:beforeAutospacing="0" w:after="0" w:afterAutospacing="0"/>
        <w:rPr>
          <w:rFonts w:ascii="Arial" w:hAnsi="Arial" w:cs="Arial"/>
          <w:sz w:val="22"/>
          <w:szCs w:val="22"/>
        </w:rPr>
      </w:pPr>
      <w:r>
        <w:rPr>
          <w:rFonts w:ascii="Arial" w:hAnsi="Arial" w:cs="Arial"/>
          <w:sz w:val="22"/>
          <w:szCs w:val="22"/>
        </w:rPr>
        <w:t xml:space="preserve">MIS410711- </w:t>
      </w:r>
      <w:r w:rsidRPr="006D023D">
        <w:rPr>
          <w:rFonts w:ascii="Arial" w:hAnsi="Arial" w:cs="Arial"/>
          <w:sz w:val="22"/>
          <w:szCs w:val="22"/>
        </w:rPr>
        <w:t>WTPS Willis Terminal</w:t>
      </w:r>
      <w:r>
        <w:rPr>
          <w:rFonts w:ascii="Arial" w:hAnsi="Arial" w:cs="Arial"/>
          <w:sz w:val="22"/>
          <w:szCs w:val="22"/>
        </w:rPr>
        <w:t xml:space="preserve">, Industrial stormwater </w:t>
      </w:r>
    </w:p>
    <w:p w14:paraId="3FE71F48" w14:textId="3216FF1D" w:rsidR="008B4D33" w:rsidRDefault="008B4D33" w:rsidP="002C000D">
      <w:pPr>
        <w:pStyle w:val="NormalWeb"/>
        <w:numPr>
          <w:ilvl w:val="0"/>
          <w:numId w:val="3"/>
        </w:numPr>
        <w:spacing w:before="0" w:beforeAutospacing="0" w:after="0" w:afterAutospacing="0"/>
        <w:rPr>
          <w:rFonts w:ascii="Arial" w:hAnsi="Arial" w:cs="Arial"/>
          <w:sz w:val="22"/>
          <w:szCs w:val="22"/>
        </w:rPr>
      </w:pPr>
      <w:r>
        <w:rPr>
          <w:rFonts w:ascii="Arial" w:hAnsi="Arial" w:cs="Arial"/>
          <w:sz w:val="22"/>
          <w:szCs w:val="22"/>
        </w:rPr>
        <w:t xml:space="preserve">MIS420050- </w:t>
      </w:r>
      <w:r w:rsidRPr="00390009">
        <w:rPr>
          <w:rFonts w:ascii="Arial" w:hAnsi="Arial" w:cs="Arial"/>
          <w:sz w:val="22"/>
          <w:szCs w:val="22"/>
        </w:rPr>
        <w:t>Holbrook Auto Parts</w:t>
      </w:r>
      <w:r>
        <w:rPr>
          <w:rFonts w:ascii="Arial" w:hAnsi="Arial" w:cs="Arial"/>
          <w:sz w:val="22"/>
          <w:szCs w:val="22"/>
        </w:rPr>
        <w:t xml:space="preserve">, Containment stormwater </w:t>
      </w:r>
    </w:p>
    <w:p w14:paraId="2489CC89" w14:textId="77777777" w:rsidR="008B4D33" w:rsidRDefault="008B4D33" w:rsidP="006E5D33">
      <w:pPr>
        <w:pStyle w:val="NormalWeb"/>
        <w:spacing w:before="0" w:beforeAutospacing="0" w:after="0" w:afterAutospacing="0"/>
        <w:rPr>
          <w:rFonts w:ascii="Arial" w:hAnsi="Arial" w:cs="Arial"/>
          <w:sz w:val="22"/>
          <w:szCs w:val="22"/>
        </w:rPr>
      </w:pPr>
    </w:p>
    <w:p w14:paraId="3AC363C4" w14:textId="77777777" w:rsidR="008B4D33" w:rsidRDefault="008B4D33" w:rsidP="006E5D33">
      <w:pPr>
        <w:pStyle w:val="NormalWeb"/>
        <w:spacing w:before="0" w:beforeAutospacing="0" w:after="0" w:afterAutospacing="0"/>
        <w:rPr>
          <w:rFonts w:ascii="Arial" w:hAnsi="Arial" w:cs="Arial"/>
          <w:sz w:val="22"/>
          <w:szCs w:val="22"/>
        </w:rPr>
      </w:pPr>
    </w:p>
    <w:p w14:paraId="7F7566A1" w14:textId="77777777" w:rsidR="008B4D33" w:rsidRDefault="008B4D33" w:rsidP="006E5D33">
      <w:pPr>
        <w:pStyle w:val="NormalWeb"/>
        <w:spacing w:before="0" w:beforeAutospacing="0" w:after="0" w:afterAutospacing="0"/>
        <w:rPr>
          <w:rFonts w:ascii="Arial" w:hAnsi="Arial" w:cs="Arial"/>
          <w:sz w:val="22"/>
          <w:szCs w:val="22"/>
        </w:rPr>
      </w:pPr>
    </w:p>
    <w:p w14:paraId="66902EBF" w14:textId="77777777" w:rsidR="008B4D33" w:rsidRDefault="008B4D33" w:rsidP="006E5D33">
      <w:pPr>
        <w:pStyle w:val="NormalWeb"/>
        <w:spacing w:before="0" w:beforeAutospacing="0" w:after="0" w:afterAutospacing="0"/>
        <w:rPr>
          <w:rFonts w:ascii="Arial" w:hAnsi="Arial" w:cs="Arial"/>
          <w:sz w:val="22"/>
          <w:szCs w:val="22"/>
        </w:rPr>
      </w:pPr>
    </w:p>
    <w:p w14:paraId="05AEC0E6" w14:textId="77777777" w:rsidR="008B4D33" w:rsidRDefault="008B4D33" w:rsidP="006E5D33">
      <w:pPr>
        <w:pStyle w:val="NormalWeb"/>
        <w:spacing w:before="0" w:beforeAutospacing="0" w:after="0" w:afterAutospacing="0"/>
        <w:rPr>
          <w:rFonts w:ascii="Arial" w:hAnsi="Arial" w:cs="Arial"/>
          <w:sz w:val="22"/>
          <w:szCs w:val="22"/>
        </w:rPr>
      </w:pPr>
    </w:p>
    <w:p w14:paraId="603B7D55" w14:textId="77777777" w:rsidR="008B4D33" w:rsidRDefault="008B4D33" w:rsidP="006E5D33">
      <w:pPr>
        <w:pStyle w:val="NormalWeb"/>
        <w:spacing w:before="0" w:beforeAutospacing="0" w:after="0" w:afterAutospacing="0"/>
        <w:rPr>
          <w:rFonts w:ascii="Arial" w:hAnsi="Arial" w:cs="Arial"/>
          <w:sz w:val="22"/>
          <w:szCs w:val="22"/>
        </w:rPr>
      </w:pPr>
    </w:p>
    <w:p w14:paraId="4959B00A" w14:textId="77777777" w:rsidR="008B4D33" w:rsidRDefault="008B4D33" w:rsidP="006E5D33">
      <w:pPr>
        <w:pStyle w:val="NormalWeb"/>
        <w:spacing w:before="0" w:beforeAutospacing="0" w:after="0" w:afterAutospacing="0"/>
        <w:rPr>
          <w:rFonts w:ascii="Arial" w:hAnsi="Arial" w:cs="Arial"/>
          <w:sz w:val="22"/>
          <w:szCs w:val="22"/>
        </w:rPr>
      </w:pPr>
    </w:p>
    <w:p w14:paraId="7C10CE00" w14:textId="77777777" w:rsidR="008B4D33" w:rsidRPr="00652908" w:rsidRDefault="008B4D33" w:rsidP="006E5D33">
      <w:pPr>
        <w:pStyle w:val="NormalWeb"/>
        <w:spacing w:before="0" w:beforeAutospacing="0" w:after="0" w:afterAutospacing="0"/>
        <w:rPr>
          <w:rFonts w:ascii="Arial" w:hAnsi="Arial" w:cs="Arial"/>
          <w:sz w:val="22"/>
          <w:szCs w:val="22"/>
        </w:rPr>
      </w:pPr>
    </w:p>
    <w:bookmarkEnd w:id="8"/>
    <w:p w14:paraId="6EB11CB9" w14:textId="5B79B7F2" w:rsidR="008B4D33" w:rsidRDefault="008B4D33" w:rsidP="006E5D33">
      <w:pPr>
        <w:pStyle w:val="NormalWeb"/>
        <w:spacing w:before="0" w:beforeAutospacing="0" w:after="240" w:afterAutospacing="0"/>
        <w:rPr>
          <w:rFonts w:ascii="Arial" w:hAnsi="Arial" w:cs="Arial"/>
          <w:i/>
          <w:sz w:val="18"/>
          <w:szCs w:val="18"/>
        </w:rPr>
      </w:pPr>
      <w:r w:rsidRPr="00652908">
        <w:rPr>
          <w:rFonts w:ascii="Arial" w:hAnsi="Arial" w:cs="Arial"/>
          <w:i/>
          <w:sz w:val="18"/>
          <w:szCs w:val="18"/>
        </w:rPr>
        <w:t>Figure 2.</w:t>
      </w:r>
      <w:r w:rsidRPr="00652908">
        <w:rPr>
          <w:rFonts w:ascii="Arial" w:hAnsi="Arial" w:cs="Arial"/>
          <w:i/>
          <w:iCs/>
          <w:sz w:val="18"/>
          <w:szCs w:val="18"/>
        </w:rPr>
        <w:t>15</w:t>
      </w:r>
      <w:r w:rsidRPr="00652908">
        <w:rPr>
          <w:rFonts w:ascii="Arial" w:hAnsi="Arial" w:cs="Arial"/>
          <w:i/>
          <w:sz w:val="18"/>
          <w:szCs w:val="18"/>
        </w:rPr>
        <w:t xml:space="preserve">.  NPDES permits in the Watershed, as of </w:t>
      </w:r>
      <w:r>
        <w:rPr>
          <w:rFonts w:ascii="Arial" w:hAnsi="Arial" w:cs="Arial"/>
          <w:i/>
          <w:sz w:val="18"/>
          <w:szCs w:val="18"/>
        </w:rPr>
        <w:t>July</w:t>
      </w:r>
      <w:r w:rsidRPr="00652908">
        <w:rPr>
          <w:rFonts w:ascii="Arial" w:hAnsi="Arial" w:cs="Arial"/>
          <w:i/>
          <w:sz w:val="18"/>
          <w:szCs w:val="18"/>
        </w:rPr>
        <w:t xml:space="preserve"> 2023. </w:t>
      </w:r>
    </w:p>
    <w:p w14:paraId="785D0864" w14:textId="1164283D" w:rsidR="008B4D33" w:rsidRPr="00F31E61" w:rsidRDefault="008B4D33" w:rsidP="006E5D33">
      <w:pPr>
        <w:pStyle w:val="NormalWeb"/>
        <w:spacing w:before="0" w:beforeAutospacing="0" w:after="240" w:afterAutospacing="0"/>
        <w:rPr>
          <w:rFonts w:ascii="Arial" w:hAnsi="Arial" w:cs="Arial"/>
          <w:i/>
          <w:sz w:val="18"/>
          <w:szCs w:val="18"/>
        </w:rPr>
      </w:pPr>
      <w:r>
        <w:rPr>
          <w:rFonts w:ascii="Arial" w:hAnsi="Arial" w:cs="Arial"/>
          <w:i/>
          <w:noProof/>
          <w:sz w:val="18"/>
          <w:szCs w:val="18"/>
        </w:rPr>
        <w:drawing>
          <wp:inline distT="0" distB="0" distL="0" distR="0" wp14:anchorId="64FDB4F2" wp14:editId="065BF8CB">
            <wp:extent cx="5477510" cy="4434205"/>
            <wp:effectExtent l="0" t="0" r="8890" b="4445"/>
            <wp:docPr id="1607221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77510" cy="4434205"/>
                    </a:xfrm>
                    <a:prstGeom prst="rect">
                      <a:avLst/>
                    </a:prstGeom>
                    <a:noFill/>
                    <a:ln>
                      <a:noFill/>
                    </a:ln>
                  </pic:spPr>
                </pic:pic>
              </a:graphicData>
            </a:graphic>
          </wp:inline>
        </w:drawing>
      </w:r>
    </w:p>
    <w:p w14:paraId="1BA7C4E5" w14:textId="4E06AE5E" w:rsidR="008B4D33" w:rsidRDefault="008B4D33" w:rsidP="006E5D33">
      <w:pPr>
        <w:pStyle w:val="NormalWeb"/>
        <w:rPr>
          <w:rFonts w:ascii="Arial" w:hAnsi="Arial" w:cs="Arial"/>
          <w:sz w:val="22"/>
          <w:szCs w:val="22"/>
        </w:rPr>
      </w:pPr>
    </w:p>
    <w:p w14:paraId="0E393706" w14:textId="1976DBCB" w:rsidR="008B4D33" w:rsidRPr="00C40AE3" w:rsidRDefault="008B4D33" w:rsidP="00DB6874">
      <w:pPr>
        <w:pStyle w:val="BodyText"/>
        <w:spacing w:after="120"/>
        <w:ind w:left="900" w:hanging="900"/>
        <w:outlineLvl w:val="2"/>
        <w:rPr>
          <w:rFonts w:ascii="Arial" w:hAnsi="Arial" w:cs="Arial"/>
          <w:sz w:val="32"/>
          <w:szCs w:val="32"/>
        </w:rPr>
      </w:pPr>
      <w:bookmarkStart w:id="11" w:name="_Toc105070933"/>
      <w:bookmarkStart w:id="12" w:name="_Toc111629321"/>
      <w:r w:rsidRPr="00C40AE3">
        <w:rPr>
          <w:rFonts w:ascii="Arial" w:hAnsi="Arial" w:cs="Arial"/>
          <w:sz w:val="32"/>
          <w:szCs w:val="32"/>
        </w:rPr>
        <w:t>2.2.5</w:t>
      </w:r>
      <w:r>
        <w:rPr>
          <w:rFonts w:ascii="Arial" w:hAnsi="Arial" w:cs="Arial"/>
          <w:sz w:val="32"/>
          <w:szCs w:val="32"/>
        </w:rPr>
        <w:t>.</w:t>
      </w:r>
      <w:r w:rsidRPr="00C40AE3">
        <w:rPr>
          <w:rFonts w:ascii="Arial" w:hAnsi="Arial" w:cs="Arial"/>
          <w:sz w:val="32"/>
          <w:szCs w:val="32"/>
        </w:rPr>
        <w:t xml:space="preserve"> Sanitary</w:t>
      </w:r>
      <w:r>
        <w:rPr>
          <w:rFonts w:ascii="Arial" w:hAnsi="Arial" w:cs="Arial"/>
          <w:sz w:val="32"/>
          <w:szCs w:val="32"/>
        </w:rPr>
        <w:t xml:space="preserve"> </w:t>
      </w:r>
      <w:r w:rsidRPr="00C40AE3">
        <w:rPr>
          <w:rFonts w:ascii="Arial" w:hAnsi="Arial" w:cs="Arial"/>
          <w:sz w:val="32"/>
          <w:szCs w:val="32"/>
        </w:rPr>
        <w:t>Sewer Service Areas and Privately</w:t>
      </w:r>
      <w:r>
        <w:rPr>
          <w:rFonts w:ascii="Arial" w:hAnsi="Arial" w:cs="Arial"/>
          <w:sz w:val="32"/>
          <w:szCs w:val="32"/>
        </w:rPr>
        <w:t>-</w:t>
      </w:r>
      <w:r w:rsidRPr="00C40AE3">
        <w:rPr>
          <w:rFonts w:ascii="Arial" w:hAnsi="Arial" w:cs="Arial"/>
          <w:sz w:val="32"/>
          <w:szCs w:val="32"/>
        </w:rPr>
        <w:t>Owned</w:t>
      </w:r>
      <w:r>
        <w:rPr>
          <w:rFonts w:ascii="Arial" w:hAnsi="Arial" w:cs="Arial"/>
          <w:sz w:val="32"/>
          <w:szCs w:val="32"/>
        </w:rPr>
        <w:t xml:space="preserve"> </w:t>
      </w:r>
      <w:r w:rsidRPr="00C40AE3">
        <w:rPr>
          <w:rFonts w:ascii="Arial" w:hAnsi="Arial" w:cs="Arial"/>
          <w:sz w:val="32"/>
          <w:szCs w:val="32"/>
        </w:rPr>
        <w:t>Septic Systems</w:t>
      </w:r>
      <w:bookmarkEnd w:id="11"/>
      <w:bookmarkEnd w:id="12"/>
    </w:p>
    <w:p w14:paraId="33674FBE" w14:textId="77777777" w:rsidR="008B4D33" w:rsidRDefault="008B4D33" w:rsidP="006E5D33">
      <w:pPr>
        <w:pStyle w:val="BodyText"/>
        <w:jc w:val="left"/>
        <w:rPr>
          <w:rFonts w:ascii="Arial" w:hAnsi="Arial" w:cs="Arial"/>
          <w:sz w:val="22"/>
          <w:szCs w:val="22"/>
        </w:rPr>
      </w:pPr>
    </w:p>
    <w:p w14:paraId="2A68A804" w14:textId="7F5C708D" w:rsidR="008B4D33" w:rsidRDefault="008B4D33" w:rsidP="006E5D33">
      <w:pPr>
        <w:pStyle w:val="BodyText"/>
        <w:jc w:val="left"/>
        <w:rPr>
          <w:rFonts w:ascii="Arial" w:hAnsi="Arial" w:cs="Arial"/>
          <w:sz w:val="22"/>
          <w:szCs w:val="22"/>
        </w:rPr>
      </w:pPr>
      <w:r>
        <w:rPr>
          <w:rFonts w:ascii="Arial" w:hAnsi="Arial" w:cs="Arial"/>
          <w:sz w:val="22"/>
          <w:szCs w:val="22"/>
        </w:rPr>
        <w:t>W</w:t>
      </w:r>
      <w:r w:rsidRPr="00C505D1">
        <w:rPr>
          <w:rFonts w:ascii="Arial" w:hAnsi="Arial" w:cs="Arial"/>
          <w:sz w:val="22"/>
          <w:szCs w:val="22"/>
        </w:rPr>
        <w:t xml:space="preserve">aste discharges </w:t>
      </w:r>
      <w:r>
        <w:rPr>
          <w:rFonts w:ascii="Arial" w:hAnsi="Arial" w:cs="Arial"/>
          <w:sz w:val="22"/>
          <w:szCs w:val="22"/>
        </w:rPr>
        <w:t xml:space="preserve">can be </w:t>
      </w:r>
      <w:r w:rsidRPr="00C505D1">
        <w:rPr>
          <w:rFonts w:ascii="Arial" w:hAnsi="Arial" w:cs="Arial"/>
          <w:sz w:val="22"/>
          <w:szCs w:val="22"/>
        </w:rPr>
        <w:t xml:space="preserve">treated by publicly owned wastewater treatment plants (WWTP) or on-site decentralized wastewater systems (privately-owned septic systems). </w:t>
      </w:r>
      <w:r>
        <w:rPr>
          <w:rFonts w:ascii="Arial" w:hAnsi="Arial" w:cs="Arial"/>
          <w:sz w:val="22"/>
          <w:szCs w:val="22"/>
        </w:rPr>
        <w:t>The entire Watershed is piped to send wastewater to the Ypsilanti Community Utilities Authority (YUCA) WWTP.</w:t>
      </w:r>
    </w:p>
    <w:p w14:paraId="52F963AE" w14:textId="77777777" w:rsidR="008B4D33" w:rsidRDefault="008B4D33" w:rsidP="006E5D33">
      <w:pPr>
        <w:pStyle w:val="BodyText"/>
        <w:jc w:val="left"/>
        <w:rPr>
          <w:rFonts w:ascii="Arial" w:hAnsi="Arial" w:cs="Arial"/>
          <w:sz w:val="22"/>
          <w:szCs w:val="22"/>
        </w:rPr>
      </w:pPr>
    </w:p>
    <w:p w14:paraId="44008CA3" w14:textId="08E8AFB2" w:rsidR="008B4D33" w:rsidRPr="00C505D1" w:rsidRDefault="008B4D33" w:rsidP="006E5D33">
      <w:pPr>
        <w:pStyle w:val="BodyText"/>
        <w:jc w:val="left"/>
        <w:rPr>
          <w:rFonts w:ascii="Arial" w:hAnsi="Arial" w:cs="Arial"/>
          <w:sz w:val="22"/>
          <w:szCs w:val="22"/>
        </w:rPr>
      </w:pPr>
      <w:r w:rsidRPr="00C505D1">
        <w:rPr>
          <w:rFonts w:ascii="Arial" w:hAnsi="Arial" w:cs="Arial"/>
          <w:sz w:val="22"/>
          <w:szCs w:val="22"/>
        </w:rPr>
        <w:t>Sanitary sewers rely on the connection of pipes from residential, commercial, and industrial sites that ultimately are received at a wastewater treatment plant where treatments are applied before discharge. Privately owned</w:t>
      </w:r>
      <w:r w:rsidRPr="00C40AE3">
        <w:rPr>
          <w:rFonts w:ascii="Arial" w:hAnsi="Arial" w:cs="Arial"/>
        </w:rPr>
        <w:t xml:space="preserve"> </w:t>
      </w:r>
      <w:r w:rsidRPr="00C505D1">
        <w:rPr>
          <w:rFonts w:ascii="Arial" w:hAnsi="Arial" w:cs="Arial"/>
          <w:sz w:val="22"/>
          <w:szCs w:val="22"/>
        </w:rPr>
        <w:t xml:space="preserve">on-site septic systems, or septic tanks, allow wastewater from a single (sometimes multiple) entity to be treated via biological and infiltration processes. Both technologies are effective methods of wastewater treatment if maintained and operated properly; however, impairments do occur. </w:t>
      </w:r>
    </w:p>
    <w:p w14:paraId="6420308A" w14:textId="77777777" w:rsidR="008B4D33" w:rsidRPr="00C505D1" w:rsidRDefault="008B4D33" w:rsidP="006E5D33">
      <w:pPr>
        <w:rPr>
          <w:rFonts w:ascii="Arial" w:hAnsi="Arial" w:cs="Arial"/>
          <w:snapToGrid w:val="0"/>
          <w:sz w:val="22"/>
          <w:szCs w:val="22"/>
        </w:rPr>
      </w:pPr>
    </w:p>
    <w:p w14:paraId="41F30A7B" w14:textId="77777777" w:rsidR="008B4D33" w:rsidRPr="00C505D1" w:rsidRDefault="008B4D33" w:rsidP="006E5D33">
      <w:pPr>
        <w:pStyle w:val="BodyText"/>
        <w:jc w:val="left"/>
        <w:rPr>
          <w:rFonts w:ascii="Arial" w:hAnsi="Arial" w:cs="Arial"/>
          <w:sz w:val="22"/>
          <w:szCs w:val="22"/>
        </w:rPr>
      </w:pPr>
      <w:r w:rsidRPr="3E56771A">
        <w:rPr>
          <w:rFonts w:ascii="Arial" w:hAnsi="Arial" w:cs="Arial"/>
          <w:sz w:val="22"/>
          <w:szCs w:val="22"/>
        </w:rPr>
        <w:lastRenderedPageBreak/>
        <w:t>Improperly functioning sewer systems and privately-owned septic systems can have a profound impact on water quality. By carrying nutrients (phosphorus and nitrogen), bacteria, pharmaceutical agents, and other pollutants to waterbodies with little or no treatment, impaired systems can result in unhealthful conditions to humans (i.e., bacterial contamination) and to aquatic organisms (i.e., low dissolved oxygen from plant growth).</w:t>
      </w:r>
    </w:p>
    <w:p w14:paraId="23E5DD30" w14:textId="77777777" w:rsidR="008B4D33" w:rsidRPr="00C505D1" w:rsidRDefault="008B4D33" w:rsidP="006E5D33">
      <w:pPr>
        <w:pStyle w:val="BodyText"/>
        <w:jc w:val="left"/>
        <w:rPr>
          <w:rFonts w:ascii="Arial" w:hAnsi="Arial" w:cs="Arial"/>
          <w:sz w:val="22"/>
          <w:szCs w:val="22"/>
        </w:rPr>
      </w:pPr>
    </w:p>
    <w:p w14:paraId="44633F5F" w14:textId="205DA3FC" w:rsidR="008B4D33" w:rsidRDefault="008B4D33" w:rsidP="006E5D33">
      <w:pPr>
        <w:pStyle w:val="BodyText"/>
        <w:jc w:val="left"/>
        <w:rPr>
          <w:rFonts w:ascii="Arial" w:hAnsi="Arial" w:cs="Arial"/>
          <w:color w:val="FF0000"/>
          <w:sz w:val="22"/>
          <w:szCs w:val="22"/>
        </w:rPr>
      </w:pPr>
      <w:r w:rsidRPr="00C505D1">
        <w:rPr>
          <w:rFonts w:ascii="Arial" w:hAnsi="Arial" w:cs="Arial"/>
          <w:sz w:val="22"/>
          <w:szCs w:val="22"/>
        </w:rPr>
        <w:t>If either system is designed, constructed, or maintained improperly, it can be a significant source of water pollution and a threat to public health. The</w:t>
      </w:r>
      <w:r w:rsidRPr="00C505D1" w:rsidDel="00951827">
        <w:rPr>
          <w:rFonts w:ascii="Arial" w:hAnsi="Arial" w:cs="Arial"/>
          <w:sz w:val="22"/>
          <w:szCs w:val="22"/>
        </w:rPr>
        <w:t xml:space="preserve"> </w:t>
      </w:r>
      <w:r w:rsidRPr="00C505D1">
        <w:rPr>
          <w:rFonts w:ascii="Arial" w:hAnsi="Arial" w:cs="Arial"/>
          <w:sz w:val="22"/>
          <w:szCs w:val="22"/>
        </w:rPr>
        <w:t>Count</w:t>
      </w:r>
      <w:r>
        <w:rPr>
          <w:rFonts w:ascii="Arial" w:hAnsi="Arial" w:cs="Arial"/>
          <w:sz w:val="22"/>
          <w:szCs w:val="22"/>
        </w:rPr>
        <w:t>y Health Departments</w:t>
      </w:r>
      <w:r w:rsidRPr="00C505D1">
        <w:rPr>
          <w:rFonts w:ascii="Arial" w:hAnsi="Arial" w:cs="Arial"/>
          <w:sz w:val="22"/>
          <w:szCs w:val="22"/>
        </w:rPr>
        <w:t xml:space="preserve"> regulate the design, installation, and repair of </w:t>
      </w:r>
      <w:r w:rsidRPr="00C505D1" w:rsidDel="00951827">
        <w:rPr>
          <w:rFonts w:ascii="Arial" w:hAnsi="Arial" w:cs="Arial"/>
          <w:sz w:val="22"/>
          <w:szCs w:val="22"/>
        </w:rPr>
        <w:t>privately</w:t>
      </w:r>
      <w:r w:rsidRPr="00C505D1">
        <w:rPr>
          <w:rFonts w:ascii="Arial" w:hAnsi="Arial" w:cs="Arial"/>
          <w:sz w:val="22"/>
          <w:szCs w:val="22"/>
        </w:rPr>
        <w:t>-owned septic systems.</w:t>
      </w:r>
      <w:r>
        <w:rPr>
          <w:rFonts w:ascii="Arial" w:hAnsi="Arial" w:cs="Arial"/>
          <w:sz w:val="22"/>
          <w:szCs w:val="22"/>
        </w:rPr>
        <w:t xml:space="preserve"> </w:t>
      </w:r>
    </w:p>
    <w:p w14:paraId="2E82FD8C" w14:textId="77777777" w:rsidR="008B4D33" w:rsidRPr="009E5D43" w:rsidRDefault="008B4D33" w:rsidP="006E5D33">
      <w:pPr>
        <w:pStyle w:val="BodyText"/>
        <w:jc w:val="left"/>
        <w:rPr>
          <w:rFonts w:ascii="Arial" w:hAnsi="Arial" w:cs="Arial"/>
          <w:color w:val="FF0000"/>
          <w:sz w:val="22"/>
          <w:szCs w:val="22"/>
        </w:rPr>
      </w:pPr>
    </w:p>
    <w:p w14:paraId="784EF069" w14:textId="60021041" w:rsidR="008B4D33" w:rsidRPr="00C505D1" w:rsidRDefault="008B4D33" w:rsidP="008843BC">
      <w:pPr>
        <w:pStyle w:val="BodyText"/>
        <w:jc w:val="left"/>
        <w:rPr>
          <w:rFonts w:ascii="Arial" w:hAnsi="Arial" w:cs="Arial"/>
          <w:sz w:val="22"/>
          <w:szCs w:val="22"/>
        </w:rPr>
      </w:pPr>
      <w:r w:rsidRPr="00C505D1">
        <w:rPr>
          <w:rFonts w:ascii="Arial" w:hAnsi="Arial" w:cs="Arial"/>
          <w:sz w:val="22"/>
          <w:szCs w:val="22"/>
        </w:rPr>
        <w:t>Sanitary sewer systems can suffer from improper installation and maintenance. For instance, in many older developments sanitary sewer pipes can be inadvertently connected to stormwater drainage systems, causing what is termed an “illicit discharge.” These discharges can have an even greater impact on water quality than impaired septic systems, depending on the type, volume, and frequency of the activity. Both county and local units of government covered by Phase II stormwater permits are required to identify and eliminate illicit discharges in their communities through an Illicit Discharge Elimination Program (IDEP).</w:t>
      </w:r>
    </w:p>
    <w:p w14:paraId="428F14FD" w14:textId="77777777" w:rsidR="008B4D33" w:rsidRDefault="008B4D33" w:rsidP="00DB6874">
      <w:pPr>
        <w:pStyle w:val="WMP-header2"/>
        <w:outlineLvl w:val="1"/>
      </w:pPr>
      <w:bookmarkStart w:id="13" w:name="_Toc105070934"/>
      <w:bookmarkStart w:id="14" w:name="_Toc111629322"/>
      <w:bookmarkStart w:id="15" w:name="_Toc4907980"/>
    </w:p>
    <w:p w14:paraId="21FC630E" w14:textId="7734E055" w:rsidR="008B4D33" w:rsidRDefault="008B4D33" w:rsidP="00DB6874">
      <w:pPr>
        <w:pStyle w:val="WMP-header2"/>
        <w:outlineLvl w:val="1"/>
      </w:pPr>
      <w:r w:rsidRPr="00DF497D">
        <w:t>2.3 Water Quality Parameters</w:t>
      </w:r>
      <w:bookmarkEnd w:id="13"/>
      <w:bookmarkEnd w:id="14"/>
    </w:p>
    <w:p w14:paraId="6A70E4FA" w14:textId="77777777" w:rsidR="008B4D33" w:rsidRPr="00DF497D" w:rsidRDefault="008B4D33" w:rsidP="006E5D33">
      <w:pPr>
        <w:rPr>
          <w:rFonts w:ascii="Arial" w:hAnsi="Arial" w:cs="Arial"/>
          <w:b/>
          <w:sz w:val="36"/>
          <w:szCs w:val="36"/>
        </w:rPr>
      </w:pPr>
    </w:p>
    <w:bookmarkEnd w:id="15"/>
    <w:p w14:paraId="080D434F" w14:textId="77777777" w:rsidR="008B4D33" w:rsidRPr="0069444C" w:rsidRDefault="008B4D33" w:rsidP="006E5D33">
      <w:pPr>
        <w:jc w:val="both"/>
        <w:rPr>
          <w:rFonts w:ascii="Arial" w:hAnsi="Arial" w:cs="Arial"/>
          <w:sz w:val="22"/>
          <w:szCs w:val="22"/>
        </w:rPr>
      </w:pPr>
      <w:r w:rsidRPr="0069444C">
        <w:rPr>
          <w:rFonts w:ascii="Arial" w:hAnsi="Arial" w:cs="Arial"/>
          <w:sz w:val="22"/>
          <w:szCs w:val="22"/>
        </w:rPr>
        <w:t xml:space="preserve">This section provides a synopsis of </w:t>
      </w:r>
      <w:r>
        <w:rPr>
          <w:rFonts w:ascii="Arial" w:hAnsi="Arial" w:cs="Arial"/>
          <w:sz w:val="22"/>
          <w:szCs w:val="22"/>
        </w:rPr>
        <w:t xml:space="preserve">water constituents and how they make up and affect the aquatic ecosystems of the Watershed. </w:t>
      </w:r>
      <w:r w:rsidRPr="0069444C">
        <w:rPr>
          <w:rFonts w:ascii="Arial" w:hAnsi="Arial" w:cs="Arial"/>
          <w:sz w:val="22"/>
          <w:szCs w:val="22"/>
        </w:rPr>
        <w:t xml:space="preserve"> </w:t>
      </w:r>
      <w:r>
        <w:rPr>
          <w:rFonts w:ascii="Arial" w:hAnsi="Arial" w:cs="Arial"/>
          <w:sz w:val="22"/>
          <w:szCs w:val="22"/>
        </w:rPr>
        <w:t xml:space="preserve">Many of these parameters are also </w:t>
      </w:r>
      <w:r w:rsidRPr="0069444C">
        <w:rPr>
          <w:rFonts w:ascii="Arial" w:hAnsi="Arial" w:cs="Arial"/>
          <w:sz w:val="22"/>
          <w:szCs w:val="22"/>
        </w:rPr>
        <w:t xml:space="preserve">indicators for gauging water quality.  A general discussion of basic limnology (lake behavior) is also presented.  While these </w:t>
      </w:r>
      <w:r>
        <w:rPr>
          <w:rFonts w:ascii="Arial" w:hAnsi="Arial" w:cs="Arial"/>
          <w:sz w:val="22"/>
          <w:szCs w:val="22"/>
        </w:rPr>
        <w:t xml:space="preserve">parameters </w:t>
      </w:r>
      <w:r w:rsidRPr="0069444C">
        <w:rPr>
          <w:rFonts w:ascii="Arial" w:hAnsi="Arial" w:cs="Arial"/>
          <w:sz w:val="22"/>
          <w:szCs w:val="22"/>
        </w:rPr>
        <w:t>are important and useful in evaluating overall water quality, data for all</w:t>
      </w:r>
      <w:r>
        <w:rPr>
          <w:rFonts w:ascii="Arial" w:hAnsi="Arial" w:cs="Arial"/>
          <w:sz w:val="22"/>
          <w:szCs w:val="22"/>
        </w:rPr>
        <w:t xml:space="preserve"> </w:t>
      </w:r>
      <w:r w:rsidRPr="0069444C">
        <w:rPr>
          <w:rFonts w:ascii="Arial" w:hAnsi="Arial" w:cs="Arial"/>
          <w:sz w:val="22"/>
          <w:szCs w:val="22"/>
        </w:rPr>
        <w:t>of the</w:t>
      </w:r>
      <w:r>
        <w:rPr>
          <w:rFonts w:ascii="Arial" w:hAnsi="Arial" w:cs="Arial"/>
          <w:sz w:val="22"/>
          <w:szCs w:val="22"/>
        </w:rPr>
        <w:t>m</w:t>
      </w:r>
      <w:r w:rsidRPr="0069444C">
        <w:rPr>
          <w:rFonts w:ascii="Arial" w:hAnsi="Arial" w:cs="Arial"/>
          <w:sz w:val="22"/>
          <w:szCs w:val="22"/>
        </w:rPr>
        <w:t xml:space="preserve"> were not readily available for all creek</w:t>
      </w:r>
      <w:r>
        <w:rPr>
          <w:rFonts w:ascii="Arial" w:hAnsi="Arial" w:cs="Arial"/>
          <w:sz w:val="22"/>
          <w:szCs w:val="22"/>
        </w:rPr>
        <w:t>s</w:t>
      </w:r>
      <w:r w:rsidRPr="0069444C" w:rsidDel="00046711">
        <w:rPr>
          <w:rFonts w:ascii="Arial" w:hAnsi="Arial" w:cs="Arial"/>
          <w:sz w:val="22"/>
          <w:szCs w:val="22"/>
        </w:rPr>
        <w:t xml:space="preserve"> in the</w:t>
      </w:r>
      <w:r w:rsidRPr="0069444C">
        <w:rPr>
          <w:rFonts w:ascii="Arial" w:hAnsi="Arial" w:cs="Arial"/>
          <w:sz w:val="22"/>
          <w:szCs w:val="22"/>
        </w:rPr>
        <w:t xml:space="preserve"> </w:t>
      </w:r>
      <w:r>
        <w:rPr>
          <w:rFonts w:ascii="Arial" w:hAnsi="Arial" w:cs="Arial"/>
          <w:sz w:val="22"/>
          <w:szCs w:val="22"/>
        </w:rPr>
        <w:t>W</w:t>
      </w:r>
      <w:r w:rsidRPr="0069444C">
        <w:rPr>
          <w:rFonts w:ascii="Arial" w:hAnsi="Arial" w:cs="Arial"/>
          <w:sz w:val="22"/>
          <w:szCs w:val="22"/>
        </w:rPr>
        <w:t xml:space="preserve">atershed.  </w:t>
      </w:r>
      <w:r>
        <w:rPr>
          <w:rFonts w:ascii="Arial" w:hAnsi="Arial" w:cs="Arial"/>
          <w:sz w:val="22"/>
          <w:szCs w:val="22"/>
        </w:rPr>
        <w:t xml:space="preserve">For the data that is available, it has been broken down to the </w:t>
      </w:r>
      <w:proofErr w:type="spellStart"/>
      <w:r>
        <w:rPr>
          <w:rFonts w:ascii="Arial" w:hAnsi="Arial" w:cs="Arial"/>
          <w:sz w:val="22"/>
          <w:szCs w:val="22"/>
        </w:rPr>
        <w:t>creekshed</w:t>
      </w:r>
      <w:proofErr w:type="spellEnd"/>
      <w:r>
        <w:rPr>
          <w:rFonts w:ascii="Arial" w:hAnsi="Arial" w:cs="Arial"/>
          <w:sz w:val="22"/>
          <w:szCs w:val="22"/>
        </w:rPr>
        <w:t xml:space="preserve"> level and presented in Section 2.4.</w:t>
      </w:r>
    </w:p>
    <w:p w14:paraId="7FDBE42B" w14:textId="77777777" w:rsidR="008B4D33" w:rsidRPr="00070F37" w:rsidRDefault="008B4D33" w:rsidP="006E5D33">
      <w:pPr>
        <w:rPr>
          <w:rFonts w:ascii="Arial" w:hAnsi="Arial" w:cs="Arial"/>
          <w:sz w:val="22"/>
          <w:szCs w:val="22"/>
        </w:rPr>
      </w:pPr>
    </w:p>
    <w:p w14:paraId="31CD47D9" w14:textId="77777777" w:rsidR="008B4D33" w:rsidRPr="00C40AE3" w:rsidRDefault="008B4D33" w:rsidP="00DB6874">
      <w:pPr>
        <w:pStyle w:val="WMP-header3"/>
        <w:outlineLvl w:val="2"/>
      </w:pPr>
      <w:bookmarkStart w:id="16" w:name="_Toc105070935"/>
      <w:bookmarkStart w:id="17" w:name="_Toc111629323"/>
      <w:r w:rsidRPr="00C40AE3">
        <w:t>2.3.1</w:t>
      </w:r>
      <w:r>
        <w:t>.</w:t>
      </w:r>
      <w:r w:rsidRPr="00C40AE3">
        <w:t xml:space="preserve"> Chemical and Physical Parameters</w:t>
      </w:r>
      <w:bookmarkEnd w:id="16"/>
      <w:bookmarkEnd w:id="17"/>
      <w:r w:rsidRPr="00C40AE3">
        <w:t xml:space="preserve"> </w:t>
      </w:r>
    </w:p>
    <w:p w14:paraId="2B4A1DFC" w14:textId="77777777" w:rsidR="008B4D33" w:rsidRPr="00070F37" w:rsidRDefault="008B4D33" w:rsidP="006E5D33">
      <w:pPr>
        <w:keepNext/>
        <w:jc w:val="both"/>
        <w:outlineLvl w:val="2"/>
        <w:rPr>
          <w:rFonts w:ascii="Arial" w:hAnsi="Arial" w:cs="Arial"/>
          <w:b/>
          <w:bCs/>
          <w:sz w:val="22"/>
          <w:szCs w:val="22"/>
        </w:rPr>
      </w:pPr>
    </w:p>
    <w:p w14:paraId="556D1154" w14:textId="77777777" w:rsidR="008B4D33" w:rsidRDefault="008B4D33" w:rsidP="00A0673D">
      <w:pPr>
        <w:pStyle w:val="WMP-header4"/>
        <w:outlineLvl w:val="3"/>
      </w:pPr>
      <w:bookmarkStart w:id="18" w:name="_Toc111629324"/>
      <w:r w:rsidRPr="001F5ED3">
        <w:t>2.3.1.1 Stream Morphology and Substrate</w:t>
      </w:r>
      <w:bookmarkEnd w:id="18"/>
    </w:p>
    <w:p w14:paraId="3BDB976A" w14:textId="77777777" w:rsidR="008B4D33" w:rsidRPr="001F5ED3" w:rsidRDefault="008B4D33" w:rsidP="00A0673D">
      <w:pPr>
        <w:pStyle w:val="WMP-header4"/>
        <w:outlineLvl w:val="3"/>
      </w:pPr>
    </w:p>
    <w:p w14:paraId="5F4B75F8" w14:textId="2C9C190D" w:rsidR="008B4D33" w:rsidRDefault="008B4D33" w:rsidP="006E5D33">
      <w:pPr>
        <w:rPr>
          <w:rFonts w:ascii="Arial" w:hAnsi="Arial" w:cs="Arial"/>
          <w:sz w:val="22"/>
          <w:szCs w:val="22"/>
        </w:rPr>
      </w:pPr>
      <w:r>
        <w:rPr>
          <w:rFonts w:ascii="Arial" w:hAnsi="Arial" w:cs="Arial"/>
          <w:sz w:val="22"/>
          <w:szCs w:val="22"/>
        </w:rPr>
        <w:t xml:space="preserve">Stream channels provide a diversity of habitats for aquatic </w:t>
      </w:r>
      <w:proofErr w:type="gramStart"/>
      <w:r>
        <w:rPr>
          <w:rFonts w:ascii="Arial" w:hAnsi="Arial" w:cs="Arial"/>
          <w:sz w:val="22"/>
          <w:szCs w:val="22"/>
        </w:rPr>
        <w:t>life</w:t>
      </w:r>
      <w:proofErr w:type="gramEnd"/>
      <w:r>
        <w:rPr>
          <w:rFonts w:ascii="Arial" w:hAnsi="Arial" w:cs="Arial"/>
          <w:sz w:val="22"/>
          <w:szCs w:val="22"/>
        </w:rPr>
        <w:t xml:space="preserve"> and each serves a different function for the stream ecosystem. Most natural stream channels alternate through a pattern of </w:t>
      </w:r>
      <w:proofErr w:type="gramStart"/>
      <w:r>
        <w:rPr>
          <w:rFonts w:ascii="Arial" w:hAnsi="Arial" w:cs="Arial"/>
          <w:sz w:val="22"/>
          <w:szCs w:val="22"/>
        </w:rPr>
        <w:t>riffles</w:t>
      </w:r>
      <w:proofErr w:type="gramEnd"/>
      <w:r>
        <w:rPr>
          <w:rFonts w:ascii="Arial" w:hAnsi="Arial" w:cs="Arial"/>
          <w:sz w:val="22"/>
          <w:szCs w:val="22"/>
        </w:rPr>
        <w:t xml:space="preserve"> (small rapids), runs, glides and pools. The specific shape and pattern </w:t>
      </w:r>
      <w:proofErr w:type="gramStart"/>
      <w:r>
        <w:rPr>
          <w:rFonts w:ascii="Arial" w:hAnsi="Arial" w:cs="Arial"/>
          <w:sz w:val="22"/>
          <w:szCs w:val="22"/>
        </w:rPr>
        <w:t>is</w:t>
      </w:r>
      <w:proofErr w:type="gramEnd"/>
      <w:r>
        <w:rPr>
          <w:rFonts w:ascii="Arial" w:hAnsi="Arial" w:cs="Arial"/>
          <w:sz w:val="22"/>
          <w:szCs w:val="22"/>
        </w:rPr>
        <w:t xml:space="preserve"> controlled by the underlying geology (bedrock, rocks and soils) and hydrology (pattern and size of stream flow). Natural streams can take on a variety of forms along the journey from headwaters to confluences, and these forms are generally dynamic – changing somewhat following each major storm. If the stream has a good connection to its floodplain, it might meander from one channel to another and back again over the years. As this movement occurs, the stream lifts, transports and deposits sediment into its channels or floodplains, creating new aquatic and upland habitat. </w:t>
      </w:r>
    </w:p>
    <w:p w14:paraId="3C5C2BC3" w14:textId="77777777" w:rsidR="008B4D33" w:rsidRDefault="008B4D33" w:rsidP="006E5D33">
      <w:pPr>
        <w:rPr>
          <w:rFonts w:ascii="Arial" w:hAnsi="Arial" w:cs="Arial"/>
          <w:sz w:val="22"/>
          <w:szCs w:val="22"/>
        </w:rPr>
      </w:pPr>
    </w:p>
    <w:p w14:paraId="543EB9FA" w14:textId="6CF98B26" w:rsidR="008B4D33" w:rsidRDefault="008B4D33" w:rsidP="006E5D33">
      <w:pPr>
        <w:rPr>
          <w:rFonts w:ascii="Arial" w:hAnsi="Arial" w:cs="Arial"/>
          <w:sz w:val="22"/>
          <w:szCs w:val="22"/>
        </w:rPr>
      </w:pPr>
      <w:r>
        <w:rPr>
          <w:rFonts w:ascii="Arial" w:hAnsi="Arial" w:cs="Arial"/>
          <w:sz w:val="22"/>
          <w:szCs w:val="22"/>
        </w:rPr>
        <w:t>As hydrology is altered (</w:t>
      </w:r>
      <w:proofErr w:type="gramStart"/>
      <w:r>
        <w:rPr>
          <w:rFonts w:ascii="Arial" w:hAnsi="Arial" w:cs="Arial"/>
          <w:sz w:val="22"/>
          <w:szCs w:val="22"/>
        </w:rPr>
        <w:t>e.g.</w:t>
      </w:r>
      <w:proofErr w:type="gramEnd"/>
      <w:r>
        <w:rPr>
          <w:rFonts w:ascii="Arial" w:hAnsi="Arial" w:cs="Arial"/>
          <w:sz w:val="22"/>
          <w:szCs w:val="22"/>
        </w:rPr>
        <w:t xml:space="preserve"> through artificial channelization or upland urbanization and disconnection to groundwater), storm flows increase, and the erosion rates of stream </w:t>
      </w:r>
      <w:r>
        <w:rPr>
          <w:rFonts w:ascii="Arial" w:hAnsi="Arial" w:cs="Arial"/>
          <w:sz w:val="22"/>
          <w:szCs w:val="22"/>
        </w:rPr>
        <w:lastRenderedPageBreak/>
        <w:t>banks and beds increase as well. This can result in homogenization of channel type, habitat destruction, and loss of important sediment and chemical processing functions. Phosphorus can be exported with higher erosion, and stagnant, low oxygen pools can form that promote bacterial growth. Highly altered streams of this type produce biological communities with very low diversity.</w:t>
      </w:r>
    </w:p>
    <w:p w14:paraId="05718C55" w14:textId="77777777" w:rsidR="008B4D33" w:rsidRDefault="008B4D33" w:rsidP="006E5D33">
      <w:pPr>
        <w:rPr>
          <w:rFonts w:ascii="Arial" w:hAnsi="Arial" w:cs="Arial"/>
          <w:sz w:val="22"/>
          <w:szCs w:val="22"/>
        </w:rPr>
      </w:pPr>
    </w:p>
    <w:p w14:paraId="70214A8E" w14:textId="4A634429" w:rsidR="008B4D33" w:rsidRDefault="008B4D33" w:rsidP="006E5D33">
      <w:pPr>
        <w:rPr>
          <w:rFonts w:ascii="Arial" w:hAnsi="Arial" w:cs="Arial"/>
          <w:sz w:val="22"/>
          <w:szCs w:val="22"/>
        </w:rPr>
      </w:pPr>
      <w:r>
        <w:rPr>
          <w:rFonts w:ascii="Arial" w:hAnsi="Arial" w:cs="Arial"/>
          <w:sz w:val="22"/>
          <w:szCs w:val="22"/>
        </w:rPr>
        <w:t xml:space="preserve">Stream bottoms or substrate can be composed of a number of different materials, depending on the geology of the stream bed and surrounding drainage area. This substrate can vary from a predominance of large particles such as gravel, cobble or even bedrock to moderately sized sands to fine organic particles in silt and clay. </w:t>
      </w:r>
      <w:r w:rsidRPr="0069444C">
        <w:rPr>
          <w:rFonts w:ascii="Arial" w:hAnsi="Arial" w:cs="Arial"/>
          <w:sz w:val="22"/>
          <w:szCs w:val="22"/>
        </w:rPr>
        <w:t xml:space="preserve">Silt, which is </w:t>
      </w:r>
      <w:r>
        <w:rPr>
          <w:rFonts w:ascii="Arial" w:hAnsi="Arial" w:cs="Arial"/>
          <w:sz w:val="22"/>
          <w:szCs w:val="22"/>
        </w:rPr>
        <w:t xml:space="preserve">the </w:t>
      </w:r>
      <w:r w:rsidRPr="0069444C">
        <w:rPr>
          <w:rFonts w:ascii="Arial" w:hAnsi="Arial" w:cs="Arial"/>
          <w:sz w:val="22"/>
          <w:szCs w:val="22"/>
        </w:rPr>
        <w:t xml:space="preserve">fine-grained </w:t>
      </w:r>
      <w:r>
        <w:rPr>
          <w:rFonts w:ascii="Arial" w:hAnsi="Arial" w:cs="Arial"/>
          <w:sz w:val="22"/>
          <w:szCs w:val="22"/>
        </w:rPr>
        <w:t>particulate matter that results from eroded soil</w:t>
      </w:r>
      <w:r w:rsidRPr="0069444C">
        <w:rPr>
          <w:rFonts w:ascii="Arial" w:hAnsi="Arial" w:cs="Arial"/>
          <w:sz w:val="22"/>
          <w:szCs w:val="22"/>
        </w:rPr>
        <w:t xml:space="preserve">, </w:t>
      </w:r>
      <w:r>
        <w:rPr>
          <w:rFonts w:ascii="Arial" w:hAnsi="Arial" w:cs="Arial"/>
          <w:sz w:val="22"/>
          <w:szCs w:val="22"/>
        </w:rPr>
        <w:t xml:space="preserve">can be deposited in streams over substrate composed of larger particles. </w:t>
      </w:r>
      <w:r w:rsidRPr="0069444C">
        <w:rPr>
          <w:rFonts w:ascii="Arial" w:hAnsi="Arial" w:cs="Arial"/>
          <w:sz w:val="22"/>
          <w:szCs w:val="22"/>
        </w:rPr>
        <w:t xml:space="preserve">Silt in </w:t>
      </w:r>
      <w:proofErr w:type="gramStart"/>
      <w:r w:rsidRPr="0069444C">
        <w:rPr>
          <w:rFonts w:ascii="Arial" w:hAnsi="Arial" w:cs="Arial"/>
          <w:sz w:val="22"/>
          <w:szCs w:val="22"/>
        </w:rPr>
        <w:t>riffles</w:t>
      </w:r>
      <w:proofErr w:type="gramEnd"/>
      <w:r w:rsidRPr="0069444C">
        <w:rPr>
          <w:rFonts w:ascii="Arial" w:hAnsi="Arial" w:cs="Arial"/>
          <w:sz w:val="22"/>
          <w:szCs w:val="22"/>
        </w:rPr>
        <w:t xml:space="preserve"> can limit the number of creatures living in a creek because it fills the spaces between surfaces and reduces oxygen in the substrate. Ero</w:t>
      </w:r>
      <w:r>
        <w:rPr>
          <w:rFonts w:ascii="Arial" w:hAnsi="Arial" w:cs="Arial"/>
          <w:sz w:val="22"/>
          <w:szCs w:val="22"/>
        </w:rPr>
        <w:t>ded silt</w:t>
      </w:r>
      <w:r w:rsidRPr="0069444C">
        <w:rPr>
          <w:rFonts w:ascii="Arial" w:hAnsi="Arial" w:cs="Arial"/>
          <w:sz w:val="22"/>
          <w:szCs w:val="22"/>
        </w:rPr>
        <w:t xml:space="preserve"> also degrades water quality because soil binds pollutants, like phosphorus, which helps to create nuisance algae blooms. Many streambeds in the Huron River system are </w:t>
      </w:r>
      <w:r>
        <w:rPr>
          <w:rFonts w:ascii="Arial" w:hAnsi="Arial" w:cs="Arial"/>
          <w:sz w:val="22"/>
          <w:szCs w:val="22"/>
        </w:rPr>
        <w:t xml:space="preserve">naturally </w:t>
      </w:r>
      <w:r w:rsidRPr="0069444C">
        <w:rPr>
          <w:rFonts w:ascii="Arial" w:hAnsi="Arial" w:cs="Arial"/>
          <w:sz w:val="22"/>
          <w:szCs w:val="22"/>
        </w:rPr>
        <w:t xml:space="preserve">sand </w:t>
      </w:r>
      <w:r>
        <w:rPr>
          <w:rFonts w:ascii="Arial" w:hAnsi="Arial" w:cs="Arial"/>
          <w:sz w:val="22"/>
          <w:szCs w:val="22"/>
        </w:rPr>
        <w:t xml:space="preserve">or gravel bottoms.  When fine sediments build up too fast, the natural aquatic ecology cannot rapidly </w:t>
      </w:r>
      <w:proofErr w:type="gramStart"/>
      <w:r>
        <w:rPr>
          <w:rFonts w:ascii="Arial" w:hAnsi="Arial" w:cs="Arial"/>
          <w:sz w:val="22"/>
          <w:szCs w:val="22"/>
        </w:rPr>
        <w:t>adapt</w:t>
      </w:r>
      <w:proofErr w:type="gramEnd"/>
      <w:r>
        <w:rPr>
          <w:rFonts w:ascii="Arial" w:hAnsi="Arial" w:cs="Arial"/>
          <w:sz w:val="22"/>
          <w:szCs w:val="22"/>
        </w:rPr>
        <w:t xml:space="preserve"> and the biotic diversity may be </w:t>
      </w:r>
      <w:r w:rsidRPr="00C40AE3">
        <w:rPr>
          <w:rFonts w:ascii="Arial" w:hAnsi="Arial" w:cs="Arial"/>
          <w:sz w:val="22"/>
          <w:szCs w:val="22"/>
        </w:rPr>
        <w:t>degra</w:t>
      </w:r>
      <w:r>
        <w:rPr>
          <w:rFonts w:ascii="Arial" w:hAnsi="Arial" w:cs="Arial"/>
          <w:sz w:val="22"/>
          <w:szCs w:val="22"/>
        </w:rPr>
        <w:t>d</w:t>
      </w:r>
      <w:r w:rsidRPr="00C40AE3">
        <w:rPr>
          <w:rFonts w:ascii="Arial" w:hAnsi="Arial" w:cs="Arial"/>
          <w:sz w:val="22"/>
          <w:szCs w:val="22"/>
        </w:rPr>
        <w:t>ed</w:t>
      </w:r>
      <w:r>
        <w:rPr>
          <w:rFonts w:ascii="Arial" w:hAnsi="Arial" w:cs="Arial"/>
          <w:sz w:val="22"/>
          <w:szCs w:val="22"/>
        </w:rPr>
        <w:t>.</w:t>
      </w:r>
      <w:r w:rsidRPr="0069444C">
        <w:rPr>
          <w:rFonts w:ascii="Arial" w:hAnsi="Arial" w:cs="Arial"/>
          <w:sz w:val="22"/>
          <w:szCs w:val="22"/>
        </w:rPr>
        <w:t xml:space="preserve"> Erosion is a natural process, but dramatic </w:t>
      </w:r>
      <w:r>
        <w:rPr>
          <w:rFonts w:ascii="Arial" w:hAnsi="Arial" w:cs="Arial"/>
          <w:sz w:val="22"/>
          <w:szCs w:val="22"/>
        </w:rPr>
        <w:t>increases in</w:t>
      </w:r>
      <w:r w:rsidRPr="0069444C">
        <w:rPr>
          <w:rFonts w:ascii="Arial" w:hAnsi="Arial" w:cs="Arial"/>
          <w:sz w:val="22"/>
          <w:szCs w:val="22"/>
        </w:rPr>
        <w:t xml:space="preserve"> fine sediment suggest unnaturally high erosion rates</w:t>
      </w:r>
      <w:r>
        <w:rPr>
          <w:rFonts w:ascii="Arial" w:hAnsi="Arial" w:cs="Arial"/>
          <w:sz w:val="22"/>
          <w:szCs w:val="22"/>
        </w:rPr>
        <w:t xml:space="preserve"> upstream</w:t>
      </w:r>
      <w:r w:rsidRPr="0069444C">
        <w:rPr>
          <w:rFonts w:ascii="Arial" w:hAnsi="Arial" w:cs="Arial"/>
          <w:sz w:val="22"/>
          <w:szCs w:val="22"/>
        </w:rPr>
        <w:t>.</w:t>
      </w:r>
      <w:r>
        <w:rPr>
          <w:rFonts w:ascii="Arial" w:hAnsi="Arial" w:cs="Arial"/>
          <w:sz w:val="22"/>
          <w:szCs w:val="22"/>
        </w:rPr>
        <w:t xml:space="preserve"> Evaluation of stream banks can help determine the need for bank and channel restoration.</w:t>
      </w:r>
      <w:r w:rsidRPr="0069444C">
        <w:rPr>
          <w:rFonts w:ascii="Arial" w:hAnsi="Arial" w:cs="Arial"/>
          <w:sz w:val="22"/>
          <w:szCs w:val="22"/>
        </w:rPr>
        <w:t xml:space="preserve"> </w:t>
      </w:r>
    </w:p>
    <w:p w14:paraId="483613D6" w14:textId="77777777" w:rsidR="008B4D33" w:rsidRDefault="008B4D33" w:rsidP="006E5D33">
      <w:pPr>
        <w:rPr>
          <w:rFonts w:ascii="Arial" w:hAnsi="Arial" w:cs="Arial"/>
          <w:sz w:val="22"/>
          <w:szCs w:val="22"/>
        </w:rPr>
      </w:pPr>
    </w:p>
    <w:p w14:paraId="5DA3C218" w14:textId="74C36F49" w:rsidR="008B4D33" w:rsidRDefault="008B4D33" w:rsidP="006E5D33">
      <w:pPr>
        <w:rPr>
          <w:rFonts w:ascii="Arial" w:hAnsi="Arial" w:cs="Arial"/>
          <w:sz w:val="22"/>
          <w:szCs w:val="22"/>
        </w:rPr>
      </w:pPr>
      <w:r>
        <w:rPr>
          <w:rFonts w:ascii="Arial" w:hAnsi="Arial" w:cs="Arial"/>
          <w:sz w:val="22"/>
          <w:szCs w:val="22"/>
        </w:rPr>
        <w:t>One method HRWC uses to assess stream habitat is through a procedure called “Measuring and Mapping”</w:t>
      </w:r>
      <w:r>
        <w:rPr>
          <w:rStyle w:val="EndnoteReference"/>
          <w:rFonts w:ascii="Arial" w:hAnsi="Arial" w:cs="Arial"/>
          <w:sz w:val="22"/>
          <w:szCs w:val="22"/>
        </w:rPr>
        <w:endnoteReference w:id="10"/>
      </w:r>
      <w:r>
        <w:rPr>
          <w:rFonts w:ascii="Arial" w:hAnsi="Arial" w:cs="Arial"/>
          <w:sz w:val="22"/>
          <w:szCs w:val="22"/>
        </w:rPr>
        <w:t>, which itself is a volunteer friendly version of EGLE’s Procedure 51 Habitat Assessment.</w:t>
      </w:r>
      <w:r>
        <w:rPr>
          <w:rStyle w:val="EndnoteReference"/>
          <w:rFonts w:ascii="Arial" w:hAnsi="Arial" w:cs="Arial"/>
          <w:sz w:val="22"/>
          <w:szCs w:val="22"/>
        </w:rPr>
        <w:endnoteReference w:id="11"/>
      </w:r>
      <w:r>
        <w:rPr>
          <w:rFonts w:ascii="Arial" w:hAnsi="Arial" w:cs="Arial"/>
          <w:sz w:val="22"/>
          <w:szCs w:val="22"/>
        </w:rPr>
        <w:t xml:space="preserve"> In this assessment, volunteers conduct a pebble count/substrate size analysis across ten cross sections of the creek, assessing at a minimum 100 pieces of substrate and then computing overall substrate size percentages (% boulder, cobble, rock, gravel, sand, fines/muck). Volunteers also answer qualitative questions regarding amount and quality of </w:t>
      </w:r>
      <w:proofErr w:type="gramStart"/>
      <w:r>
        <w:rPr>
          <w:rFonts w:ascii="Arial" w:hAnsi="Arial" w:cs="Arial"/>
          <w:sz w:val="22"/>
          <w:szCs w:val="22"/>
        </w:rPr>
        <w:t>riffles</w:t>
      </w:r>
      <w:proofErr w:type="gramEnd"/>
      <w:r>
        <w:rPr>
          <w:rFonts w:ascii="Arial" w:hAnsi="Arial" w:cs="Arial"/>
          <w:sz w:val="22"/>
          <w:szCs w:val="22"/>
        </w:rPr>
        <w:t xml:space="preserve">, runs, pools, riparian habitat, woody debris, and so on. HRWC </w:t>
      </w:r>
      <w:proofErr w:type="gramStart"/>
      <w:r>
        <w:rPr>
          <w:rFonts w:ascii="Arial" w:hAnsi="Arial" w:cs="Arial"/>
          <w:sz w:val="22"/>
          <w:szCs w:val="22"/>
        </w:rPr>
        <w:t>use</w:t>
      </w:r>
      <w:proofErr w:type="gramEnd"/>
      <w:r>
        <w:rPr>
          <w:rFonts w:ascii="Arial" w:hAnsi="Arial" w:cs="Arial"/>
          <w:sz w:val="22"/>
          <w:szCs w:val="22"/>
        </w:rPr>
        <w:t xml:space="preserve"> these answers to calculate a stream habitat score with the same metrics used in the P51 assessment. </w:t>
      </w:r>
    </w:p>
    <w:p w14:paraId="6E5A0C40" w14:textId="77777777" w:rsidR="008B4D33" w:rsidRDefault="008B4D33" w:rsidP="006E5D33">
      <w:pPr>
        <w:rPr>
          <w:rFonts w:ascii="Arial" w:hAnsi="Arial" w:cs="Arial"/>
          <w:sz w:val="22"/>
          <w:szCs w:val="22"/>
        </w:rPr>
      </w:pPr>
    </w:p>
    <w:p w14:paraId="0F94E4EB" w14:textId="51EAF643" w:rsidR="008B4D33" w:rsidRDefault="008B4D33" w:rsidP="006E5D33">
      <w:pPr>
        <w:rPr>
          <w:rFonts w:ascii="Arial" w:hAnsi="Arial" w:cs="Arial"/>
          <w:sz w:val="22"/>
          <w:szCs w:val="22"/>
        </w:rPr>
      </w:pPr>
      <w:r>
        <w:rPr>
          <w:rFonts w:ascii="Arial" w:hAnsi="Arial" w:cs="Arial"/>
          <w:sz w:val="22"/>
          <w:szCs w:val="22"/>
        </w:rPr>
        <w:t xml:space="preserve">In recent years, HRWC began using a method called </w:t>
      </w:r>
      <w:r w:rsidRPr="006A1A19">
        <w:rPr>
          <w:rFonts w:ascii="Arial" w:hAnsi="Arial" w:cs="Arial"/>
          <w:sz w:val="22"/>
          <w:szCs w:val="22"/>
        </w:rPr>
        <w:t>BANC</w:t>
      </w:r>
      <w:r>
        <w:rPr>
          <w:rFonts w:ascii="Arial" w:hAnsi="Arial" w:cs="Arial"/>
          <w:sz w:val="22"/>
          <w:szCs w:val="22"/>
        </w:rPr>
        <w:t>S</w:t>
      </w:r>
      <w:r w:rsidRPr="006A1A19">
        <w:rPr>
          <w:rFonts w:ascii="Arial" w:hAnsi="Arial" w:cs="Arial"/>
          <w:sz w:val="22"/>
          <w:szCs w:val="22"/>
        </w:rPr>
        <w:t xml:space="preserve"> </w:t>
      </w:r>
      <w:r w:rsidRPr="009B7876">
        <w:rPr>
          <w:rFonts w:ascii="Arial" w:hAnsi="Arial" w:cs="Arial"/>
          <w:sz w:val="22"/>
          <w:szCs w:val="22"/>
        </w:rPr>
        <w:t xml:space="preserve">(Bank Assessment for Non-point source Consequences of Sediment, </w:t>
      </w:r>
      <w:r w:rsidRPr="00CB637C">
        <w:rPr>
          <w:rFonts w:ascii="Arial" w:hAnsi="Arial" w:cs="Arial"/>
          <w:sz w:val="22"/>
          <w:szCs w:val="22"/>
        </w:rPr>
        <w:t>Appendix C)</w:t>
      </w:r>
      <w:r w:rsidRPr="009B7876">
        <w:rPr>
          <w:rFonts w:cs="Calibri"/>
        </w:rPr>
        <w:t xml:space="preserve"> </w:t>
      </w:r>
      <w:r w:rsidRPr="009B7876">
        <w:rPr>
          <w:rFonts w:ascii="Arial" w:hAnsi="Arial" w:cs="Arial"/>
          <w:sz w:val="22"/>
          <w:szCs w:val="22"/>
        </w:rPr>
        <w:t>to evaluate the stability of representative stream reaches (</w:t>
      </w:r>
      <w:proofErr w:type="gramStart"/>
      <w:r w:rsidRPr="009B7876">
        <w:rPr>
          <w:rFonts w:ascii="Arial" w:hAnsi="Arial" w:cs="Arial"/>
          <w:sz w:val="22"/>
          <w:szCs w:val="22"/>
        </w:rPr>
        <w:t>i.e.</w:t>
      </w:r>
      <w:proofErr w:type="gramEnd"/>
      <w:r w:rsidRPr="009B7876">
        <w:rPr>
          <w:rFonts w:ascii="Arial" w:hAnsi="Arial" w:cs="Arial"/>
          <w:sz w:val="22"/>
          <w:szCs w:val="22"/>
        </w:rPr>
        <w:t xml:space="preserve"> segments) throughout the</w:t>
      </w:r>
      <w:r>
        <w:rPr>
          <w:rFonts w:ascii="Arial" w:hAnsi="Arial" w:cs="Arial"/>
          <w:sz w:val="22"/>
          <w:szCs w:val="22"/>
        </w:rPr>
        <w:t xml:space="preserve"> Huron River Watershed. In summary, the rapid evaluation method assesses the erodibility of a stream </w:t>
      </w:r>
      <w:proofErr w:type="gramStart"/>
      <w:r>
        <w:rPr>
          <w:rFonts w:ascii="Arial" w:hAnsi="Arial" w:cs="Arial"/>
          <w:sz w:val="22"/>
          <w:szCs w:val="22"/>
        </w:rPr>
        <w:t>reach’s</w:t>
      </w:r>
      <w:proofErr w:type="gramEnd"/>
      <w:r>
        <w:rPr>
          <w:rFonts w:ascii="Arial" w:hAnsi="Arial" w:cs="Arial"/>
          <w:sz w:val="22"/>
          <w:szCs w:val="22"/>
        </w:rPr>
        <w:t xml:space="preserve"> banks and the hydraulic forces impacting those banks to estimate erosion rates for each bank. These bank assessments can then be compiled into an overall erosion rate for the stream reach or average rates for all evaluated streams within a </w:t>
      </w:r>
      <w:proofErr w:type="spellStart"/>
      <w:r>
        <w:rPr>
          <w:rFonts w:ascii="Arial" w:hAnsi="Arial" w:cs="Arial"/>
          <w:sz w:val="22"/>
          <w:szCs w:val="22"/>
        </w:rPr>
        <w:t>creekshed</w:t>
      </w:r>
      <w:proofErr w:type="spellEnd"/>
      <w:r>
        <w:rPr>
          <w:rFonts w:ascii="Arial" w:hAnsi="Arial" w:cs="Arial"/>
          <w:sz w:val="22"/>
          <w:szCs w:val="22"/>
        </w:rPr>
        <w:t xml:space="preserve">. The erosion estimates should only be used to get a general sense of the scale of erosion relative to other streams in the system (rather than taken as precise estimates of sediment load), as the techniques are designed for a rapid and broad assessment. </w:t>
      </w:r>
    </w:p>
    <w:p w14:paraId="5E1ED3FA" w14:textId="77777777" w:rsidR="008B4D33" w:rsidRDefault="008B4D33" w:rsidP="006E5D33">
      <w:pPr>
        <w:rPr>
          <w:rFonts w:ascii="Arial" w:hAnsi="Arial" w:cs="Arial"/>
          <w:sz w:val="22"/>
          <w:szCs w:val="22"/>
        </w:rPr>
      </w:pPr>
    </w:p>
    <w:p w14:paraId="5FB6F808" w14:textId="14C01E2C" w:rsidR="008B4D33" w:rsidRDefault="008B4D33" w:rsidP="006E5D33">
      <w:pPr>
        <w:rPr>
          <w:rFonts w:ascii="Arial" w:hAnsi="Arial" w:cs="Arial"/>
          <w:sz w:val="22"/>
          <w:szCs w:val="22"/>
        </w:rPr>
      </w:pPr>
      <w:r>
        <w:rPr>
          <w:rFonts w:ascii="Arial" w:hAnsi="Arial" w:cs="Arial"/>
          <w:sz w:val="22"/>
          <w:szCs w:val="22"/>
        </w:rPr>
        <w:t xml:space="preserve">Given the size of the Watershed and total length of streams, as well as the ability to access the streams, HRWC needed to assess a sample of reaches rather than attempt a full census. HRWC evaluated the accessibility of all </w:t>
      </w:r>
      <w:proofErr w:type="gramStart"/>
      <w:r>
        <w:rPr>
          <w:rFonts w:ascii="Arial" w:hAnsi="Arial" w:cs="Arial"/>
          <w:sz w:val="22"/>
          <w:szCs w:val="22"/>
        </w:rPr>
        <w:t>stream</w:t>
      </w:r>
      <w:proofErr w:type="gramEnd"/>
      <w:r>
        <w:rPr>
          <w:rFonts w:ascii="Arial" w:hAnsi="Arial" w:cs="Arial"/>
          <w:sz w:val="22"/>
          <w:szCs w:val="22"/>
        </w:rPr>
        <w:t xml:space="preserve"> reaches in the watershed and scheduled the assessment of all accessible stream reaches. During assessment, some reaches were determined to be </w:t>
      </w:r>
      <w:proofErr w:type="gramStart"/>
      <w:r>
        <w:rPr>
          <w:rFonts w:ascii="Arial" w:hAnsi="Arial" w:cs="Arial"/>
          <w:sz w:val="22"/>
          <w:szCs w:val="22"/>
        </w:rPr>
        <w:t>impassible</w:t>
      </w:r>
      <w:proofErr w:type="gramEnd"/>
      <w:r>
        <w:rPr>
          <w:rFonts w:ascii="Arial" w:hAnsi="Arial" w:cs="Arial"/>
          <w:sz w:val="22"/>
          <w:szCs w:val="22"/>
        </w:rPr>
        <w:t xml:space="preserve"> at points or impossible to find. Most river reaches were too deep to wade, but several important reaches were accessible. Most accessible reaches were assessed. For this Watershed, teams of HRWC field assessors were able to evaluate </w:t>
      </w:r>
      <w:r w:rsidRPr="0035288C">
        <w:rPr>
          <w:rFonts w:ascii="Arial" w:hAnsi="Arial" w:cs="Arial"/>
          <w:sz w:val="22"/>
          <w:szCs w:val="22"/>
        </w:rPr>
        <w:t>11.8 miles of stream/river to estimate erosion rates for 25.1 miles</w:t>
      </w:r>
      <w:r w:rsidRPr="00F5126F">
        <w:rPr>
          <w:rFonts w:ascii="Arial" w:hAnsi="Arial" w:cs="Arial"/>
          <w:color w:val="FF0000"/>
          <w:sz w:val="22"/>
          <w:szCs w:val="22"/>
        </w:rPr>
        <w:t xml:space="preserve"> </w:t>
      </w:r>
      <w:r>
        <w:rPr>
          <w:rFonts w:ascii="Arial" w:hAnsi="Arial" w:cs="Arial"/>
          <w:sz w:val="22"/>
          <w:szCs w:val="22"/>
        </w:rPr>
        <w:t xml:space="preserve">of stream reaches. </w:t>
      </w:r>
    </w:p>
    <w:p w14:paraId="09563F6C" w14:textId="77777777" w:rsidR="008B4D33" w:rsidRDefault="008B4D33" w:rsidP="006E5D33">
      <w:pPr>
        <w:rPr>
          <w:rFonts w:ascii="Arial" w:hAnsi="Arial" w:cs="Arial"/>
          <w:sz w:val="22"/>
          <w:szCs w:val="22"/>
        </w:rPr>
      </w:pPr>
    </w:p>
    <w:p w14:paraId="4CCBD705" w14:textId="25FC6250" w:rsidR="008B4D33" w:rsidRDefault="008B4D33" w:rsidP="006E5D33">
      <w:pPr>
        <w:rPr>
          <w:rFonts w:ascii="Arial" w:hAnsi="Arial" w:cs="Arial"/>
          <w:sz w:val="22"/>
          <w:szCs w:val="22"/>
        </w:rPr>
      </w:pPr>
      <w:r>
        <w:rPr>
          <w:rFonts w:ascii="Arial" w:hAnsi="Arial" w:cs="Arial"/>
          <w:sz w:val="22"/>
          <w:szCs w:val="22"/>
        </w:rPr>
        <w:t xml:space="preserve">Results for each </w:t>
      </w:r>
      <w:proofErr w:type="spellStart"/>
      <w:r>
        <w:rPr>
          <w:rFonts w:ascii="Arial" w:hAnsi="Arial" w:cs="Arial"/>
          <w:sz w:val="22"/>
          <w:szCs w:val="22"/>
        </w:rPr>
        <w:t>creekshed</w:t>
      </w:r>
      <w:proofErr w:type="spellEnd"/>
      <w:r>
        <w:rPr>
          <w:rFonts w:ascii="Arial" w:hAnsi="Arial" w:cs="Arial"/>
          <w:sz w:val="22"/>
          <w:szCs w:val="22"/>
        </w:rPr>
        <w:t xml:space="preserve"> are presented in section 2.4, </w:t>
      </w:r>
      <w:r w:rsidRPr="009D0A8C">
        <w:rPr>
          <w:rFonts w:ascii="Arial" w:hAnsi="Arial" w:cs="Arial"/>
          <w:sz w:val="22"/>
          <w:szCs w:val="22"/>
        </w:rPr>
        <w:t>but Figure 2.1</w:t>
      </w:r>
      <w:r>
        <w:rPr>
          <w:rFonts w:ascii="Arial" w:hAnsi="Arial" w:cs="Arial"/>
          <w:sz w:val="22"/>
          <w:szCs w:val="22"/>
        </w:rPr>
        <w:t>6</w:t>
      </w:r>
      <w:r w:rsidRPr="009D0A8C">
        <w:rPr>
          <w:rFonts w:ascii="Arial" w:hAnsi="Arial" w:cs="Arial"/>
          <w:sz w:val="22"/>
          <w:szCs w:val="22"/>
        </w:rPr>
        <w:t xml:space="preserve"> shows the evaluated stream reaches and their erosion rates. Within the </w:t>
      </w:r>
      <w:r>
        <w:rPr>
          <w:rFonts w:ascii="Arial" w:hAnsi="Arial" w:cs="Arial"/>
          <w:sz w:val="22"/>
          <w:szCs w:val="22"/>
        </w:rPr>
        <w:t>W</w:t>
      </w:r>
      <w:r w:rsidRPr="009D0A8C">
        <w:rPr>
          <w:rFonts w:ascii="Arial" w:hAnsi="Arial" w:cs="Arial"/>
          <w:sz w:val="22"/>
          <w:szCs w:val="22"/>
        </w:rPr>
        <w:t xml:space="preserve">atershed, </w:t>
      </w:r>
      <w:r>
        <w:rPr>
          <w:rFonts w:ascii="Arial" w:hAnsi="Arial" w:cs="Arial"/>
          <w:sz w:val="22"/>
          <w:szCs w:val="22"/>
        </w:rPr>
        <w:t xml:space="preserve">the majority (59%) </w:t>
      </w:r>
      <w:r w:rsidRPr="009D0A8C">
        <w:rPr>
          <w:rFonts w:ascii="Arial" w:hAnsi="Arial" w:cs="Arial"/>
          <w:sz w:val="22"/>
          <w:szCs w:val="22"/>
        </w:rPr>
        <w:t xml:space="preserve">of stream reaches </w:t>
      </w:r>
      <w:r>
        <w:rPr>
          <w:rFonts w:ascii="Arial" w:hAnsi="Arial" w:cs="Arial"/>
          <w:sz w:val="22"/>
          <w:szCs w:val="22"/>
        </w:rPr>
        <w:t xml:space="preserve">have </w:t>
      </w:r>
      <w:r w:rsidRPr="009D0A8C">
        <w:rPr>
          <w:rFonts w:ascii="Arial" w:hAnsi="Arial" w:cs="Arial"/>
          <w:sz w:val="22"/>
          <w:szCs w:val="22"/>
        </w:rPr>
        <w:t>high erosion rates (Table 2.</w:t>
      </w:r>
      <w:r>
        <w:rPr>
          <w:rFonts w:ascii="Arial" w:hAnsi="Arial" w:cs="Arial"/>
          <w:sz w:val="22"/>
          <w:szCs w:val="22"/>
        </w:rPr>
        <w:t>6</w:t>
      </w:r>
      <w:r w:rsidRPr="009D0A8C">
        <w:rPr>
          <w:rFonts w:ascii="Arial" w:hAnsi="Arial" w:cs="Arial"/>
          <w:sz w:val="22"/>
          <w:szCs w:val="22"/>
        </w:rPr>
        <w:t xml:space="preserve">). </w:t>
      </w:r>
      <w:r>
        <w:rPr>
          <w:rFonts w:ascii="Arial" w:hAnsi="Arial" w:cs="Arial"/>
          <w:sz w:val="22"/>
          <w:szCs w:val="22"/>
        </w:rPr>
        <w:t xml:space="preserve">Most of the remaining reaches have </w:t>
      </w:r>
      <w:r w:rsidRPr="009D0A8C">
        <w:rPr>
          <w:rFonts w:ascii="Arial" w:hAnsi="Arial" w:cs="Arial"/>
          <w:sz w:val="22"/>
          <w:szCs w:val="22"/>
        </w:rPr>
        <w:t>a moderate erosion rate</w:t>
      </w:r>
      <w:r>
        <w:rPr>
          <w:rFonts w:ascii="Arial" w:hAnsi="Arial" w:cs="Arial"/>
          <w:sz w:val="22"/>
          <w:szCs w:val="22"/>
        </w:rPr>
        <w:t>, with only one reach with a</w:t>
      </w:r>
      <w:r w:rsidRPr="009D0A8C">
        <w:rPr>
          <w:rFonts w:ascii="Arial" w:hAnsi="Arial" w:cs="Arial"/>
          <w:sz w:val="22"/>
          <w:szCs w:val="22"/>
        </w:rPr>
        <w:t xml:space="preserve"> low erosion rate, or stable banks.</w:t>
      </w:r>
      <w:r>
        <w:rPr>
          <w:rFonts w:ascii="Arial" w:hAnsi="Arial" w:cs="Arial"/>
          <w:sz w:val="22"/>
          <w:szCs w:val="22"/>
        </w:rPr>
        <w:t xml:space="preserve"> Reaches with high erosion rates tended to be in the mid-range of drainage area size class, as none of the river sites had high rates. The only low erosion rate stream was a small headwater stream. </w:t>
      </w:r>
      <w:proofErr w:type="gramStart"/>
      <w:r>
        <w:rPr>
          <w:rFonts w:ascii="Arial" w:hAnsi="Arial" w:cs="Arial"/>
          <w:sz w:val="22"/>
          <w:szCs w:val="22"/>
        </w:rPr>
        <w:t>Huron</w:t>
      </w:r>
      <w:proofErr w:type="gramEnd"/>
      <w:r>
        <w:rPr>
          <w:rFonts w:ascii="Arial" w:hAnsi="Arial" w:cs="Arial"/>
          <w:sz w:val="22"/>
          <w:szCs w:val="22"/>
        </w:rPr>
        <w:t xml:space="preserve"> River reaches had moderate erosion rates, which bring mean and median drainage areas up.</w:t>
      </w:r>
    </w:p>
    <w:p w14:paraId="4304AAEA" w14:textId="77777777" w:rsidR="008B4D33" w:rsidRDefault="008B4D33" w:rsidP="006E5D33">
      <w:pPr>
        <w:rPr>
          <w:rFonts w:ascii="Arial" w:hAnsi="Arial" w:cs="Arial"/>
          <w:sz w:val="22"/>
          <w:szCs w:val="22"/>
        </w:rPr>
      </w:pPr>
    </w:p>
    <w:p w14:paraId="251DB384" w14:textId="77777777" w:rsidR="008B4D33" w:rsidRDefault="008B4D33" w:rsidP="006E5D33">
      <w:pPr>
        <w:rPr>
          <w:rFonts w:ascii="Arial" w:hAnsi="Arial" w:cs="Arial"/>
          <w:i/>
          <w:iCs/>
          <w:sz w:val="18"/>
          <w:szCs w:val="18"/>
        </w:rPr>
      </w:pPr>
    </w:p>
    <w:p w14:paraId="7F7CA6FE" w14:textId="77777777" w:rsidR="008B4D33" w:rsidRDefault="008B4D33" w:rsidP="006E5D33">
      <w:pPr>
        <w:rPr>
          <w:rFonts w:ascii="Arial" w:hAnsi="Arial" w:cs="Arial"/>
          <w:i/>
          <w:iCs/>
          <w:sz w:val="18"/>
          <w:szCs w:val="18"/>
        </w:rPr>
      </w:pPr>
    </w:p>
    <w:p w14:paraId="6C1F4885" w14:textId="71A7455D" w:rsidR="008B4D33" w:rsidRDefault="008B4D33" w:rsidP="006E5D33">
      <w:pPr>
        <w:rPr>
          <w:rFonts w:ascii="Arial" w:hAnsi="Arial" w:cs="Arial"/>
          <w:i/>
          <w:iCs/>
          <w:sz w:val="18"/>
          <w:szCs w:val="18"/>
        </w:rPr>
      </w:pPr>
      <w:r w:rsidRPr="00F8002F">
        <w:rPr>
          <w:rFonts w:ascii="Arial" w:hAnsi="Arial" w:cs="Arial"/>
          <w:i/>
          <w:iCs/>
          <w:sz w:val="18"/>
          <w:szCs w:val="18"/>
        </w:rPr>
        <w:t>Table 2.</w:t>
      </w:r>
      <w:r>
        <w:rPr>
          <w:rFonts w:ascii="Arial" w:hAnsi="Arial" w:cs="Arial"/>
          <w:i/>
          <w:iCs/>
          <w:sz w:val="18"/>
          <w:szCs w:val="18"/>
        </w:rPr>
        <w:t>6. Summary of BANCs results for the Watershed.</w:t>
      </w:r>
    </w:p>
    <w:p w14:paraId="072E060A" w14:textId="77777777" w:rsidR="008B4D33" w:rsidRPr="00F8002F" w:rsidRDefault="008B4D33" w:rsidP="006E5D33">
      <w:pPr>
        <w:rPr>
          <w:rFonts w:ascii="Arial" w:hAnsi="Arial" w:cs="Arial"/>
          <w:i/>
          <w:iCs/>
          <w:sz w:val="18"/>
          <w:szCs w:val="18"/>
        </w:rPr>
      </w:pPr>
    </w:p>
    <w:tbl>
      <w:tblPr>
        <w:tblStyle w:val="GridTable1Light-Accent1"/>
        <w:tblW w:w="0" w:type="auto"/>
        <w:tblLook w:val="04A0" w:firstRow="1" w:lastRow="0" w:firstColumn="1" w:lastColumn="0" w:noHBand="0" w:noVBand="1"/>
      </w:tblPr>
      <w:tblGrid>
        <w:gridCol w:w="1103"/>
        <w:gridCol w:w="1075"/>
        <w:gridCol w:w="1213"/>
        <w:gridCol w:w="1361"/>
        <w:gridCol w:w="1197"/>
        <w:gridCol w:w="1482"/>
        <w:gridCol w:w="1199"/>
      </w:tblGrid>
      <w:tr w:rsidR="008B4D33" w:rsidRPr="00081823" w14:paraId="1F7E5779" w14:textId="77777777" w:rsidTr="00221B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5" w:type="dxa"/>
            <w:tcBorders>
              <w:top w:val="single" w:sz="4" w:space="0" w:color="auto"/>
              <w:left w:val="single" w:sz="4" w:space="0" w:color="auto"/>
            </w:tcBorders>
          </w:tcPr>
          <w:p w14:paraId="0BAA5A85" w14:textId="77777777" w:rsidR="008B4D33" w:rsidRPr="00081823" w:rsidRDefault="008B4D33" w:rsidP="00221B2E">
            <w:pPr>
              <w:rPr>
                <w:rFonts w:ascii="Arial" w:hAnsi="Arial" w:cs="Arial"/>
                <w:sz w:val="18"/>
                <w:szCs w:val="18"/>
              </w:rPr>
            </w:pPr>
            <w:r w:rsidRPr="00081823">
              <w:rPr>
                <w:rFonts w:ascii="Arial" w:hAnsi="Arial" w:cs="Arial"/>
                <w:sz w:val="18"/>
                <w:szCs w:val="18"/>
              </w:rPr>
              <w:t>Erosion Rate</w:t>
            </w:r>
          </w:p>
        </w:tc>
        <w:tc>
          <w:tcPr>
            <w:tcW w:w="1122" w:type="dxa"/>
            <w:tcBorders>
              <w:top w:val="single" w:sz="4" w:space="0" w:color="auto"/>
            </w:tcBorders>
          </w:tcPr>
          <w:p w14:paraId="215F4C3A" w14:textId="77777777" w:rsidR="008B4D33" w:rsidRPr="00081823" w:rsidRDefault="008B4D33" w:rsidP="00221B2E">
            <w:pP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081823">
              <w:rPr>
                <w:rFonts w:ascii="Arial" w:hAnsi="Arial" w:cs="Arial"/>
                <w:sz w:val="18"/>
                <w:szCs w:val="18"/>
              </w:rPr>
              <w:t># of Reaches</w:t>
            </w:r>
          </w:p>
        </w:tc>
        <w:tc>
          <w:tcPr>
            <w:tcW w:w="1275" w:type="dxa"/>
            <w:tcBorders>
              <w:top w:val="single" w:sz="4" w:space="0" w:color="auto"/>
            </w:tcBorders>
          </w:tcPr>
          <w:p w14:paraId="5FFC117A" w14:textId="77777777" w:rsidR="008B4D33" w:rsidRPr="00081823" w:rsidRDefault="008B4D33" w:rsidP="00221B2E">
            <w:pP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081823">
              <w:rPr>
                <w:rFonts w:ascii="Arial" w:hAnsi="Arial" w:cs="Arial"/>
                <w:sz w:val="18"/>
                <w:szCs w:val="18"/>
              </w:rPr>
              <w:t>% of Assessed</w:t>
            </w:r>
          </w:p>
        </w:tc>
        <w:tc>
          <w:tcPr>
            <w:tcW w:w="1483" w:type="dxa"/>
            <w:tcBorders>
              <w:top w:val="single" w:sz="4" w:space="0" w:color="auto"/>
            </w:tcBorders>
          </w:tcPr>
          <w:p w14:paraId="64376F4D" w14:textId="77777777" w:rsidR="008B4D33" w:rsidRPr="00081823" w:rsidRDefault="008B4D33" w:rsidP="00221B2E">
            <w:pP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081823">
              <w:rPr>
                <w:rFonts w:ascii="Arial" w:hAnsi="Arial" w:cs="Arial"/>
                <w:sz w:val="18"/>
                <w:szCs w:val="18"/>
              </w:rPr>
              <w:t>Assessed Reach Length (mi)</w:t>
            </w:r>
          </w:p>
        </w:tc>
        <w:tc>
          <w:tcPr>
            <w:tcW w:w="1350" w:type="dxa"/>
            <w:tcBorders>
              <w:top w:val="single" w:sz="4" w:space="0" w:color="auto"/>
              <w:right w:val="single" w:sz="4" w:space="0" w:color="auto"/>
            </w:tcBorders>
          </w:tcPr>
          <w:p w14:paraId="3DB5D216" w14:textId="77777777" w:rsidR="008B4D33" w:rsidRPr="00081823" w:rsidRDefault="008B4D33" w:rsidP="00221B2E">
            <w:pP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081823">
              <w:rPr>
                <w:rFonts w:ascii="Arial" w:hAnsi="Arial" w:cs="Arial"/>
                <w:sz w:val="18"/>
                <w:szCs w:val="18"/>
              </w:rPr>
              <w:t>% of Total Length</w:t>
            </w:r>
          </w:p>
        </w:tc>
        <w:tc>
          <w:tcPr>
            <w:tcW w:w="1681" w:type="dxa"/>
            <w:tcBorders>
              <w:top w:val="single" w:sz="4" w:space="0" w:color="auto"/>
              <w:right w:val="single" w:sz="4" w:space="0" w:color="auto"/>
            </w:tcBorders>
          </w:tcPr>
          <w:p w14:paraId="03496C2A" w14:textId="77777777" w:rsidR="008B4D33" w:rsidRPr="00081823" w:rsidRDefault="008B4D33" w:rsidP="00221B2E">
            <w:pP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081823">
              <w:rPr>
                <w:rFonts w:ascii="Arial" w:hAnsi="Arial" w:cs="Arial"/>
                <w:sz w:val="18"/>
                <w:szCs w:val="18"/>
              </w:rPr>
              <w:t>Mean Drainage Area (mi</w:t>
            </w:r>
            <w:r w:rsidRPr="00081823">
              <w:rPr>
                <w:rFonts w:ascii="Arial" w:hAnsi="Arial" w:cs="Arial"/>
                <w:sz w:val="18"/>
                <w:szCs w:val="18"/>
                <w:vertAlign w:val="superscript"/>
              </w:rPr>
              <w:t>2</w:t>
            </w:r>
            <w:r w:rsidRPr="00081823">
              <w:rPr>
                <w:rFonts w:ascii="Arial" w:hAnsi="Arial" w:cs="Arial"/>
                <w:sz w:val="18"/>
                <w:szCs w:val="18"/>
              </w:rPr>
              <w:t>)</w:t>
            </w:r>
          </w:p>
        </w:tc>
        <w:tc>
          <w:tcPr>
            <w:tcW w:w="1284" w:type="dxa"/>
            <w:tcBorders>
              <w:top w:val="single" w:sz="4" w:space="0" w:color="auto"/>
              <w:right w:val="single" w:sz="4" w:space="0" w:color="auto"/>
            </w:tcBorders>
          </w:tcPr>
          <w:p w14:paraId="32C73664" w14:textId="77777777" w:rsidR="008B4D33" w:rsidRPr="00081823" w:rsidRDefault="008B4D33" w:rsidP="00221B2E">
            <w:pP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081823">
              <w:rPr>
                <w:rFonts w:ascii="Arial" w:hAnsi="Arial" w:cs="Arial"/>
                <w:sz w:val="18"/>
                <w:szCs w:val="18"/>
              </w:rPr>
              <w:t>Median Drainage Area (mi</w:t>
            </w:r>
            <w:r w:rsidRPr="00081823">
              <w:rPr>
                <w:rFonts w:ascii="Arial" w:hAnsi="Arial" w:cs="Arial"/>
                <w:sz w:val="18"/>
                <w:szCs w:val="18"/>
                <w:vertAlign w:val="superscript"/>
              </w:rPr>
              <w:t>2</w:t>
            </w:r>
            <w:r w:rsidRPr="00081823">
              <w:rPr>
                <w:rFonts w:ascii="Arial" w:hAnsi="Arial" w:cs="Arial"/>
                <w:sz w:val="18"/>
                <w:szCs w:val="18"/>
              </w:rPr>
              <w:t>)</w:t>
            </w:r>
          </w:p>
        </w:tc>
      </w:tr>
      <w:tr w:rsidR="008B4D33" w:rsidRPr="00081823" w14:paraId="1759AE4B" w14:textId="77777777" w:rsidTr="00221B2E">
        <w:tc>
          <w:tcPr>
            <w:cnfStyle w:val="001000000000" w:firstRow="0" w:lastRow="0" w:firstColumn="1" w:lastColumn="0" w:oddVBand="0" w:evenVBand="0" w:oddHBand="0" w:evenHBand="0" w:firstRowFirstColumn="0" w:firstRowLastColumn="0" w:lastRowFirstColumn="0" w:lastRowLastColumn="0"/>
            <w:tcW w:w="1155" w:type="dxa"/>
            <w:tcBorders>
              <w:left w:val="single" w:sz="4" w:space="0" w:color="auto"/>
            </w:tcBorders>
          </w:tcPr>
          <w:p w14:paraId="4CEE8FD4" w14:textId="4A74065C" w:rsidR="008B4D33" w:rsidRPr="00081823" w:rsidRDefault="008B4D33" w:rsidP="00221B2E">
            <w:pPr>
              <w:rPr>
                <w:rFonts w:ascii="Arial" w:hAnsi="Arial" w:cs="Arial"/>
                <w:b w:val="0"/>
                <w:bCs w:val="0"/>
                <w:sz w:val="18"/>
                <w:szCs w:val="18"/>
              </w:rPr>
            </w:pPr>
            <w:r>
              <w:rPr>
                <w:rFonts w:ascii="Arial" w:hAnsi="Arial" w:cs="Arial"/>
                <w:b w:val="0"/>
                <w:bCs w:val="0"/>
                <w:sz w:val="18"/>
                <w:szCs w:val="18"/>
              </w:rPr>
              <w:t>High</w:t>
            </w:r>
          </w:p>
        </w:tc>
        <w:tc>
          <w:tcPr>
            <w:tcW w:w="1122" w:type="dxa"/>
          </w:tcPr>
          <w:p w14:paraId="77108DCE" w14:textId="07E14C72" w:rsidR="008B4D33" w:rsidRPr="00081823" w:rsidRDefault="008B4D33" w:rsidP="00221B2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13</w:t>
            </w:r>
          </w:p>
        </w:tc>
        <w:tc>
          <w:tcPr>
            <w:tcW w:w="1275" w:type="dxa"/>
          </w:tcPr>
          <w:p w14:paraId="511D1737" w14:textId="1EA0AA35" w:rsidR="008B4D33" w:rsidRPr="00081823" w:rsidRDefault="008B4D33" w:rsidP="00221B2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59%</w:t>
            </w:r>
          </w:p>
        </w:tc>
        <w:tc>
          <w:tcPr>
            <w:tcW w:w="1483" w:type="dxa"/>
          </w:tcPr>
          <w:p w14:paraId="64106ABA" w14:textId="07FF5D2B" w:rsidR="008B4D33" w:rsidRPr="00081823" w:rsidRDefault="008B4D33" w:rsidP="00221B2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13.8</w:t>
            </w:r>
          </w:p>
        </w:tc>
        <w:tc>
          <w:tcPr>
            <w:tcW w:w="1350" w:type="dxa"/>
            <w:tcBorders>
              <w:right w:val="single" w:sz="4" w:space="0" w:color="auto"/>
            </w:tcBorders>
          </w:tcPr>
          <w:p w14:paraId="64DB41ED" w14:textId="248CE9B5" w:rsidR="008B4D33" w:rsidRPr="00081823" w:rsidRDefault="008B4D33" w:rsidP="00221B2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55%</w:t>
            </w:r>
          </w:p>
        </w:tc>
        <w:tc>
          <w:tcPr>
            <w:tcW w:w="1681" w:type="dxa"/>
            <w:tcBorders>
              <w:right w:val="single" w:sz="4" w:space="0" w:color="auto"/>
            </w:tcBorders>
          </w:tcPr>
          <w:p w14:paraId="4A7D1191" w14:textId="4F2651CC" w:rsidR="008B4D33" w:rsidRPr="00081823" w:rsidRDefault="008B4D33" w:rsidP="00221B2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1.36</w:t>
            </w:r>
          </w:p>
        </w:tc>
        <w:tc>
          <w:tcPr>
            <w:tcW w:w="1284" w:type="dxa"/>
            <w:tcBorders>
              <w:right w:val="single" w:sz="4" w:space="0" w:color="auto"/>
            </w:tcBorders>
          </w:tcPr>
          <w:p w14:paraId="3B17B3CE" w14:textId="7F624D5A" w:rsidR="008B4D33" w:rsidRPr="00081823" w:rsidRDefault="008B4D33" w:rsidP="00221B2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0.82</w:t>
            </w:r>
          </w:p>
        </w:tc>
      </w:tr>
      <w:tr w:rsidR="008B4D33" w:rsidRPr="00081823" w14:paraId="179C0391" w14:textId="77777777" w:rsidTr="00221B2E">
        <w:tc>
          <w:tcPr>
            <w:cnfStyle w:val="001000000000" w:firstRow="0" w:lastRow="0" w:firstColumn="1" w:lastColumn="0" w:oddVBand="0" w:evenVBand="0" w:oddHBand="0" w:evenHBand="0" w:firstRowFirstColumn="0" w:firstRowLastColumn="0" w:lastRowFirstColumn="0" w:lastRowLastColumn="0"/>
            <w:tcW w:w="1155" w:type="dxa"/>
            <w:tcBorders>
              <w:left w:val="single" w:sz="4" w:space="0" w:color="auto"/>
              <w:bottom w:val="single" w:sz="4" w:space="0" w:color="B4C6E7" w:themeColor="accent1" w:themeTint="66"/>
            </w:tcBorders>
          </w:tcPr>
          <w:p w14:paraId="66803F85" w14:textId="1799E3A8" w:rsidR="008B4D33" w:rsidRPr="00081823" w:rsidRDefault="008B4D33" w:rsidP="00221B2E">
            <w:pPr>
              <w:rPr>
                <w:rFonts w:ascii="Arial" w:hAnsi="Arial" w:cs="Arial"/>
                <w:b w:val="0"/>
                <w:bCs w:val="0"/>
                <w:sz w:val="18"/>
                <w:szCs w:val="18"/>
              </w:rPr>
            </w:pPr>
            <w:r>
              <w:rPr>
                <w:rFonts w:ascii="Arial" w:hAnsi="Arial" w:cs="Arial"/>
                <w:b w:val="0"/>
                <w:bCs w:val="0"/>
                <w:sz w:val="18"/>
                <w:szCs w:val="18"/>
              </w:rPr>
              <w:t>Moderate</w:t>
            </w:r>
          </w:p>
        </w:tc>
        <w:tc>
          <w:tcPr>
            <w:tcW w:w="1122" w:type="dxa"/>
            <w:tcBorders>
              <w:bottom w:val="single" w:sz="4" w:space="0" w:color="B4C6E7" w:themeColor="accent1" w:themeTint="66"/>
            </w:tcBorders>
          </w:tcPr>
          <w:p w14:paraId="6111CE12" w14:textId="381B6952" w:rsidR="008B4D33" w:rsidRPr="00081823" w:rsidRDefault="008B4D33" w:rsidP="00221B2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8</w:t>
            </w:r>
          </w:p>
        </w:tc>
        <w:tc>
          <w:tcPr>
            <w:tcW w:w="1275" w:type="dxa"/>
            <w:tcBorders>
              <w:bottom w:val="single" w:sz="4" w:space="0" w:color="B4C6E7" w:themeColor="accent1" w:themeTint="66"/>
            </w:tcBorders>
          </w:tcPr>
          <w:p w14:paraId="031B72F1" w14:textId="5186560B" w:rsidR="008B4D33" w:rsidRPr="00081823" w:rsidRDefault="008B4D33" w:rsidP="00221B2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36%</w:t>
            </w:r>
          </w:p>
        </w:tc>
        <w:tc>
          <w:tcPr>
            <w:tcW w:w="1483" w:type="dxa"/>
            <w:tcBorders>
              <w:bottom w:val="single" w:sz="4" w:space="0" w:color="B4C6E7" w:themeColor="accent1" w:themeTint="66"/>
            </w:tcBorders>
          </w:tcPr>
          <w:p w14:paraId="4F153854" w14:textId="5B0F9E80" w:rsidR="008B4D33" w:rsidRPr="00081823" w:rsidRDefault="008B4D33" w:rsidP="00221B2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1.4</w:t>
            </w:r>
          </w:p>
        </w:tc>
        <w:tc>
          <w:tcPr>
            <w:tcW w:w="1350" w:type="dxa"/>
            <w:tcBorders>
              <w:bottom w:val="single" w:sz="4" w:space="0" w:color="B4C6E7" w:themeColor="accent1" w:themeTint="66"/>
              <w:right w:val="single" w:sz="4" w:space="0" w:color="auto"/>
            </w:tcBorders>
          </w:tcPr>
          <w:p w14:paraId="7C1ED1DF" w14:textId="5D21360F" w:rsidR="008B4D33" w:rsidRPr="00081823" w:rsidRDefault="008B4D33" w:rsidP="00221B2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39%</w:t>
            </w:r>
          </w:p>
        </w:tc>
        <w:tc>
          <w:tcPr>
            <w:tcW w:w="1681" w:type="dxa"/>
            <w:tcBorders>
              <w:bottom w:val="single" w:sz="4" w:space="0" w:color="B4C6E7" w:themeColor="accent1" w:themeTint="66"/>
              <w:right w:val="single" w:sz="4" w:space="0" w:color="auto"/>
            </w:tcBorders>
          </w:tcPr>
          <w:p w14:paraId="4566434F" w14:textId="5DCB5D6E" w:rsidR="008B4D33" w:rsidRPr="00081823" w:rsidRDefault="008B4D33" w:rsidP="00221B2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107.5</w:t>
            </w:r>
          </w:p>
        </w:tc>
        <w:tc>
          <w:tcPr>
            <w:tcW w:w="1284" w:type="dxa"/>
            <w:tcBorders>
              <w:bottom w:val="single" w:sz="4" w:space="0" w:color="B4C6E7" w:themeColor="accent1" w:themeTint="66"/>
              <w:right w:val="single" w:sz="4" w:space="0" w:color="auto"/>
            </w:tcBorders>
          </w:tcPr>
          <w:p w14:paraId="7F310BBB" w14:textId="139A4051" w:rsidR="008B4D33" w:rsidRPr="00081823" w:rsidRDefault="008B4D33" w:rsidP="00221B2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2.30</w:t>
            </w:r>
          </w:p>
        </w:tc>
      </w:tr>
      <w:tr w:rsidR="008B4D33" w:rsidRPr="00081823" w14:paraId="082B0788" w14:textId="77777777" w:rsidTr="00221B2E">
        <w:tc>
          <w:tcPr>
            <w:cnfStyle w:val="001000000000" w:firstRow="0" w:lastRow="0" w:firstColumn="1" w:lastColumn="0" w:oddVBand="0" w:evenVBand="0" w:oddHBand="0" w:evenHBand="0" w:firstRowFirstColumn="0" w:firstRowLastColumn="0" w:lastRowFirstColumn="0" w:lastRowLastColumn="0"/>
            <w:tcW w:w="1155" w:type="dxa"/>
            <w:tcBorders>
              <w:left w:val="single" w:sz="4" w:space="0" w:color="auto"/>
              <w:bottom w:val="single" w:sz="4" w:space="0" w:color="auto"/>
            </w:tcBorders>
          </w:tcPr>
          <w:p w14:paraId="57418440" w14:textId="72CE5A38" w:rsidR="008B4D33" w:rsidRPr="00081823" w:rsidRDefault="008B4D33" w:rsidP="00221B2E">
            <w:pPr>
              <w:rPr>
                <w:rFonts w:ascii="Arial" w:hAnsi="Arial" w:cs="Arial"/>
                <w:b w:val="0"/>
                <w:bCs w:val="0"/>
                <w:sz w:val="18"/>
                <w:szCs w:val="18"/>
              </w:rPr>
            </w:pPr>
            <w:r>
              <w:rPr>
                <w:rFonts w:ascii="Arial" w:hAnsi="Arial" w:cs="Arial"/>
                <w:b w:val="0"/>
                <w:bCs w:val="0"/>
                <w:sz w:val="18"/>
                <w:szCs w:val="18"/>
              </w:rPr>
              <w:t>Low</w:t>
            </w:r>
          </w:p>
        </w:tc>
        <w:tc>
          <w:tcPr>
            <w:tcW w:w="1122" w:type="dxa"/>
            <w:tcBorders>
              <w:bottom w:val="single" w:sz="4" w:space="0" w:color="auto"/>
            </w:tcBorders>
          </w:tcPr>
          <w:p w14:paraId="077B7C65" w14:textId="0EA43766" w:rsidR="008B4D33" w:rsidRPr="00081823" w:rsidRDefault="008B4D33" w:rsidP="00221B2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1</w:t>
            </w:r>
          </w:p>
        </w:tc>
        <w:tc>
          <w:tcPr>
            <w:tcW w:w="1275" w:type="dxa"/>
            <w:tcBorders>
              <w:bottom w:val="single" w:sz="4" w:space="0" w:color="auto"/>
            </w:tcBorders>
          </w:tcPr>
          <w:p w14:paraId="275FECCF" w14:textId="7081C991" w:rsidR="008B4D33" w:rsidRPr="00081823" w:rsidRDefault="008B4D33" w:rsidP="00221B2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5%</w:t>
            </w:r>
          </w:p>
        </w:tc>
        <w:tc>
          <w:tcPr>
            <w:tcW w:w="1483" w:type="dxa"/>
            <w:tcBorders>
              <w:bottom w:val="single" w:sz="4" w:space="0" w:color="auto"/>
            </w:tcBorders>
          </w:tcPr>
          <w:p w14:paraId="260C8AEE" w14:textId="095E19ED" w:rsidR="008B4D33" w:rsidRPr="00081823" w:rsidRDefault="008B4D33" w:rsidP="00221B2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9.9</w:t>
            </w:r>
          </w:p>
        </w:tc>
        <w:tc>
          <w:tcPr>
            <w:tcW w:w="1350" w:type="dxa"/>
            <w:tcBorders>
              <w:bottom w:val="single" w:sz="4" w:space="0" w:color="auto"/>
              <w:right w:val="single" w:sz="4" w:space="0" w:color="auto"/>
            </w:tcBorders>
          </w:tcPr>
          <w:p w14:paraId="4A3A9C1C" w14:textId="1F4BF4BE" w:rsidR="008B4D33" w:rsidRPr="00081823" w:rsidRDefault="008B4D33" w:rsidP="00221B2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6%</w:t>
            </w:r>
          </w:p>
        </w:tc>
        <w:tc>
          <w:tcPr>
            <w:tcW w:w="1681" w:type="dxa"/>
            <w:tcBorders>
              <w:bottom w:val="single" w:sz="4" w:space="0" w:color="auto"/>
              <w:right w:val="single" w:sz="4" w:space="0" w:color="auto"/>
            </w:tcBorders>
          </w:tcPr>
          <w:p w14:paraId="4583BB3C" w14:textId="339AE78E" w:rsidR="008B4D33" w:rsidRPr="00081823" w:rsidRDefault="008B4D33" w:rsidP="00221B2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0.35</w:t>
            </w:r>
          </w:p>
        </w:tc>
        <w:tc>
          <w:tcPr>
            <w:tcW w:w="1284" w:type="dxa"/>
            <w:tcBorders>
              <w:bottom w:val="single" w:sz="4" w:space="0" w:color="auto"/>
              <w:right w:val="single" w:sz="4" w:space="0" w:color="auto"/>
            </w:tcBorders>
          </w:tcPr>
          <w:p w14:paraId="69B2B733" w14:textId="6C6D4933" w:rsidR="008B4D33" w:rsidRPr="00081823" w:rsidRDefault="008B4D33" w:rsidP="00221B2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0.35</w:t>
            </w:r>
          </w:p>
        </w:tc>
      </w:tr>
      <w:tr w:rsidR="008B4D33" w:rsidRPr="00081823" w14:paraId="7B21B68C" w14:textId="77777777" w:rsidTr="00221B2E">
        <w:tc>
          <w:tcPr>
            <w:cnfStyle w:val="001000000000" w:firstRow="0" w:lastRow="0" w:firstColumn="1" w:lastColumn="0" w:oddVBand="0" w:evenVBand="0" w:oddHBand="0" w:evenHBand="0" w:firstRowFirstColumn="0" w:firstRowLastColumn="0" w:lastRowFirstColumn="0" w:lastRowLastColumn="0"/>
            <w:tcW w:w="1155" w:type="dxa"/>
            <w:tcBorders>
              <w:top w:val="single" w:sz="4" w:space="0" w:color="auto"/>
              <w:left w:val="single" w:sz="4" w:space="0" w:color="auto"/>
              <w:bottom w:val="single" w:sz="4" w:space="0" w:color="auto"/>
            </w:tcBorders>
          </w:tcPr>
          <w:p w14:paraId="75CCA460" w14:textId="56C10498" w:rsidR="008B4D33" w:rsidRPr="00081823" w:rsidRDefault="008B4D33" w:rsidP="00221B2E">
            <w:pPr>
              <w:rPr>
                <w:rFonts w:ascii="Arial" w:hAnsi="Arial" w:cs="Arial"/>
                <w:b w:val="0"/>
                <w:bCs w:val="0"/>
                <w:sz w:val="18"/>
                <w:szCs w:val="18"/>
              </w:rPr>
            </w:pPr>
            <w:r>
              <w:rPr>
                <w:rFonts w:ascii="Arial" w:hAnsi="Arial" w:cs="Arial"/>
                <w:b w:val="0"/>
                <w:bCs w:val="0"/>
                <w:sz w:val="18"/>
                <w:szCs w:val="18"/>
              </w:rPr>
              <w:t>Total</w:t>
            </w:r>
          </w:p>
        </w:tc>
        <w:tc>
          <w:tcPr>
            <w:tcW w:w="1122" w:type="dxa"/>
            <w:tcBorders>
              <w:top w:val="single" w:sz="4" w:space="0" w:color="auto"/>
              <w:bottom w:val="single" w:sz="4" w:space="0" w:color="auto"/>
            </w:tcBorders>
          </w:tcPr>
          <w:p w14:paraId="46CAEB04" w14:textId="35CAE245" w:rsidR="008B4D33" w:rsidRPr="00081823" w:rsidRDefault="008B4D33" w:rsidP="00221B2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22</w:t>
            </w:r>
          </w:p>
        </w:tc>
        <w:tc>
          <w:tcPr>
            <w:tcW w:w="1275" w:type="dxa"/>
            <w:tcBorders>
              <w:top w:val="single" w:sz="4" w:space="0" w:color="auto"/>
              <w:bottom w:val="single" w:sz="4" w:space="0" w:color="auto"/>
            </w:tcBorders>
          </w:tcPr>
          <w:p w14:paraId="71A6C0E8" w14:textId="456DFF60" w:rsidR="008B4D33" w:rsidRPr="00081823" w:rsidRDefault="008B4D33" w:rsidP="00221B2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100%</w:t>
            </w:r>
          </w:p>
        </w:tc>
        <w:tc>
          <w:tcPr>
            <w:tcW w:w="1483" w:type="dxa"/>
            <w:tcBorders>
              <w:top w:val="single" w:sz="4" w:space="0" w:color="auto"/>
              <w:bottom w:val="single" w:sz="4" w:space="0" w:color="auto"/>
            </w:tcBorders>
          </w:tcPr>
          <w:p w14:paraId="254376EC" w14:textId="697AA883" w:rsidR="008B4D33" w:rsidRPr="00081823" w:rsidRDefault="008B4D33" w:rsidP="00221B2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25.1</w:t>
            </w:r>
          </w:p>
        </w:tc>
        <w:tc>
          <w:tcPr>
            <w:tcW w:w="1350" w:type="dxa"/>
            <w:tcBorders>
              <w:top w:val="single" w:sz="4" w:space="0" w:color="auto"/>
              <w:bottom w:val="single" w:sz="4" w:space="0" w:color="auto"/>
              <w:right w:val="single" w:sz="4" w:space="0" w:color="auto"/>
            </w:tcBorders>
          </w:tcPr>
          <w:p w14:paraId="28361247" w14:textId="7DED98A4" w:rsidR="008B4D33" w:rsidRPr="00081823" w:rsidRDefault="008B4D33" w:rsidP="00221B2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100%</w:t>
            </w:r>
          </w:p>
        </w:tc>
        <w:tc>
          <w:tcPr>
            <w:tcW w:w="1681" w:type="dxa"/>
            <w:tcBorders>
              <w:top w:val="single" w:sz="4" w:space="0" w:color="auto"/>
              <w:bottom w:val="single" w:sz="4" w:space="0" w:color="auto"/>
              <w:right w:val="single" w:sz="4" w:space="0" w:color="auto"/>
            </w:tcBorders>
          </w:tcPr>
          <w:p w14:paraId="3D67FFC4" w14:textId="77777777" w:rsidR="008B4D33" w:rsidRPr="00081823" w:rsidRDefault="008B4D33" w:rsidP="00221B2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1284" w:type="dxa"/>
            <w:tcBorders>
              <w:top w:val="single" w:sz="4" w:space="0" w:color="auto"/>
              <w:bottom w:val="single" w:sz="4" w:space="0" w:color="auto"/>
              <w:right w:val="single" w:sz="4" w:space="0" w:color="auto"/>
            </w:tcBorders>
          </w:tcPr>
          <w:p w14:paraId="59CBD11A" w14:textId="77777777" w:rsidR="008B4D33" w:rsidRPr="00081823" w:rsidRDefault="008B4D33" w:rsidP="00221B2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r>
    </w:tbl>
    <w:p w14:paraId="57650C79" w14:textId="77777777" w:rsidR="008B4D33" w:rsidRDefault="008B4D33" w:rsidP="006E5D33">
      <w:pPr>
        <w:spacing w:after="160" w:line="259" w:lineRule="auto"/>
        <w:rPr>
          <w:rFonts w:ascii="Arial" w:hAnsi="Arial" w:cs="Arial"/>
          <w:i/>
          <w:iCs/>
          <w:sz w:val="22"/>
          <w:szCs w:val="22"/>
        </w:rPr>
      </w:pPr>
    </w:p>
    <w:p w14:paraId="5A9C6249" w14:textId="0F856CED" w:rsidR="008B4D33" w:rsidRPr="008F6F5A" w:rsidRDefault="008B4D33" w:rsidP="006E5D33">
      <w:pPr>
        <w:rPr>
          <w:rFonts w:ascii="Arial" w:hAnsi="Arial" w:cs="Arial"/>
          <w:i/>
          <w:iCs/>
          <w:sz w:val="18"/>
          <w:szCs w:val="18"/>
        </w:rPr>
      </w:pPr>
      <w:r w:rsidRPr="3E56771A">
        <w:rPr>
          <w:rFonts w:ascii="Arial" w:hAnsi="Arial" w:cs="Arial"/>
          <w:i/>
          <w:iCs/>
          <w:sz w:val="18"/>
          <w:szCs w:val="18"/>
        </w:rPr>
        <w:t>Figure 2.1</w:t>
      </w:r>
      <w:r>
        <w:rPr>
          <w:rFonts w:ascii="Arial" w:hAnsi="Arial" w:cs="Arial"/>
          <w:i/>
          <w:iCs/>
          <w:sz w:val="18"/>
          <w:szCs w:val="18"/>
        </w:rPr>
        <w:t>6</w:t>
      </w:r>
      <w:r w:rsidRPr="3E56771A">
        <w:rPr>
          <w:rFonts w:ascii="Arial" w:hAnsi="Arial" w:cs="Arial"/>
          <w:i/>
          <w:iCs/>
          <w:sz w:val="18"/>
          <w:szCs w:val="18"/>
        </w:rPr>
        <w:t xml:space="preserve"> Estimated Unit Erosion Rates (in tons/</w:t>
      </w:r>
      <w:proofErr w:type="spellStart"/>
      <w:r w:rsidRPr="3E56771A">
        <w:rPr>
          <w:rFonts w:ascii="Arial" w:hAnsi="Arial" w:cs="Arial"/>
          <w:i/>
          <w:iCs/>
          <w:sz w:val="18"/>
          <w:szCs w:val="18"/>
        </w:rPr>
        <w:t>yr</w:t>
      </w:r>
      <w:proofErr w:type="spellEnd"/>
      <w:r w:rsidRPr="3E56771A">
        <w:rPr>
          <w:rFonts w:ascii="Arial" w:hAnsi="Arial" w:cs="Arial"/>
          <w:i/>
          <w:iCs/>
          <w:sz w:val="18"/>
          <w:szCs w:val="18"/>
        </w:rPr>
        <w:t xml:space="preserve">/ft of stream) for Evaluated Stream Reaches. Note: </w:t>
      </w:r>
      <w:r>
        <w:rPr>
          <w:rFonts w:ascii="Arial" w:hAnsi="Arial" w:cs="Arial"/>
          <w:i/>
          <w:iCs/>
          <w:sz w:val="18"/>
          <w:szCs w:val="18"/>
        </w:rPr>
        <w:t>Inaccessible reaches are in blue.</w:t>
      </w:r>
    </w:p>
    <w:p w14:paraId="3C736CAD" w14:textId="75C61216" w:rsidR="008B4D33" w:rsidRDefault="008B4D33" w:rsidP="006E5D33">
      <w:pPr>
        <w:tabs>
          <w:tab w:val="left" w:pos="2076"/>
        </w:tabs>
        <w:rPr>
          <w:rFonts w:ascii="Arial" w:hAnsi="Arial" w:cs="Arial"/>
          <w:b/>
          <w:bCs/>
          <w:sz w:val="22"/>
          <w:szCs w:val="22"/>
        </w:rPr>
      </w:pPr>
      <w:r w:rsidRPr="001E21F5">
        <w:rPr>
          <w:rFonts w:ascii="Arial" w:hAnsi="Arial" w:cs="Arial"/>
          <w:b/>
          <w:bCs/>
          <w:noProof/>
          <w:sz w:val="22"/>
          <w:szCs w:val="22"/>
        </w:rPr>
        <mc:AlternateContent>
          <mc:Choice Requires="wps">
            <w:drawing>
              <wp:anchor distT="45720" distB="45720" distL="114300" distR="114300" simplePos="0" relativeHeight="251699200" behindDoc="0" locked="0" layoutInCell="1" allowOverlap="1" wp14:anchorId="69BBCB33" wp14:editId="5D1EF809">
                <wp:simplePos x="0" y="0"/>
                <wp:positionH relativeFrom="margin">
                  <wp:posOffset>5083175</wp:posOffset>
                </wp:positionH>
                <wp:positionV relativeFrom="paragraph">
                  <wp:posOffset>363855</wp:posOffset>
                </wp:positionV>
                <wp:extent cx="695960" cy="1404620"/>
                <wp:effectExtent l="0" t="0" r="8890" b="698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960" cy="1404620"/>
                        </a:xfrm>
                        <a:prstGeom prst="rect">
                          <a:avLst/>
                        </a:prstGeom>
                        <a:solidFill>
                          <a:srgbClr val="FFFFFF"/>
                        </a:solidFill>
                        <a:ln w="9525">
                          <a:noFill/>
                          <a:miter lim="800000"/>
                          <a:headEnd/>
                          <a:tailEnd/>
                        </a:ln>
                      </wps:spPr>
                      <wps:txbx>
                        <w:txbxContent>
                          <w:p w14:paraId="4A54CD6B" w14:textId="77777777" w:rsidR="008B4D33" w:rsidRPr="009E48FA" w:rsidRDefault="008B4D33" w:rsidP="006E5D33">
                            <w:pPr>
                              <w:rPr>
                                <w:rFonts w:ascii="Arial" w:hAnsi="Arial" w:cs="Arial"/>
                                <w:sz w:val="14"/>
                                <w:szCs w:val="14"/>
                              </w:rPr>
                            </w:pPr>
                            <w:r w:rsidRPr="009E48FA">
                              <w:rPr>
                                <w:rFonts w:ascii="Arial" w:hAnsi="Arial" w:cs="Arial"/>
                                <w:sz w:val="14"/>
                                <w:szCs w:val="14"/>
                              </w:rPr>
                              <w:t>Medium</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type w14:anchorId="69BBCB33" id="_x0000_t202" coordsize="21600,21600" o:spt="202" path="m,l,21600r21600,l21600,xe">
                <v:stroke joinstyle="miter"/>
                <v:path gradientshapeok="t" o:connecttype="rect"/>
              </v:shapetype>
              <v:shape id="Text Box 2" o:spid="_x0000_s1026" type="#_x0000_t202" style="position:absolute;margin-left:400.25pt;margin-top:28.65pt;width:54.8pt;height:110.6pt;z-index:2516992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" stroked="f">
                <v:textbox style="mso-fit-shape-to-text:t">
                  <w:txbxContent>
                    <w:p w14:paraId="4A54CD6B" w14:textId="77777777" w:rsidR="008B4D33" w:rsidRPr="009E48FA" w:rsidRDefault="008B4D33" w:rsidP="006E5D33">
                      <w:pPr>
                        <w:rPr>
                          <w:rFonts w:ascii="Arial" w:hAnsi="Arial" w:cs="Arial"/>
                          <w:sz w:val="14"/>
                          <w:szCs w:val="14"/>
                        </w:rPr>
                      </w:pPr>
                      <w:r w:rsidRPr="009E48FA">
                        <w:rPr>
                          <w:rFonts w:ascii="Arial" w:hAnsi="Arial" w:cs="Arial"/>
                          <w:sz w:val="14"/>
                          <w:szCs w:val="14"/>
                        </w:rPr>
                        <w:t>Medium</w:t>
                      </w:r>
                    </w:p>
                  </w:txbxContent>
                </v:textbox>
                <w10:wrap anchorx="margin"/>
              </v:shape>
            </w:pict>
          </mc:Fallback>
        </mc:AlternateContent>
      </w:r>
      <w:r w:rsidRPr="001E21F5">
        <w:rPr>
          <w:rFonts w:ascii="Arial" w:hAnsi="Arial" w:cs="Arial"/>
          <w:b/>
          <w:bCs/>
          <w:noProof/>
          <w:sz w:val="22"/>
          <w:szCs w:val="22"/>
        </w:rPr>
        <mc:AlternateContent>
          <mc:Choice Requires="wps">
            <w:drawing>
              <wp:anchor distT="45720" distB="45720" distL="114300" distR="114300" simplePos="0" relativeHeight="251697152" behindDoc="0" locked="0" layoutInCell="1" allowOverlap="1" wp14:anchorId="1FE1B3A7" wp14:editId="53541E65">
                <wp:simplePos x="0" y="0"/>
                <wp:positionH relativeFrom="column">
                  <wp:posOffset>5085715</wp:posOffset>
                </wp:positionH>
                <wp:positionV relativeFrom="paragraph">
                  <wp:posOffset>531495</wp:posOffset>
                </wp:positionV>
                <wp:extent cx="532130" cy="1404620"/>
                <wp:effectExtent l="0" t="0" r="1270" b="698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130" cy="1404620"/>
                        </a:xfrm>
                        <a:prstGeom prst="rect">
                          <a:avLst/>
                        </a:prstGeom>
                        <a:solidFill>
                          <a:srgbClr val="FFFFFF"/>
                        </a:solidFill>
                        <a:ln w="9525">
                          <a:noFill/>
                          <a:miter lim="800000"/>
                          <a:headEnd/>
                          <a:tailEnd/>
                        </a:ln>
                      </wps:spPr>
                      <wps:txbx>
                        <w:txbxContent>
                          <w:p w14:paraId="2A033C93" w14:textId="77777777" w:rsidR="008B4D33" w:rsidRPr="009E48FA" w:rsidRDefault="008B4D33" w:rsidP="006E5D33">
                            <w:pPr>
                              <w:rPr>
                                <w:rFonts w:ascii="Arial" w:hAnsi="Arial" w:cs="Arial"/>
                                <w:sz w:val="14"/>
                                <w:szCs w:val="14"/>
                              </w:rPr>
                            </w:pPr>
                            <w:r w:rsidRPr="009E48FA">
                              <w:rPr>
                                <w:rFonts w:ascii="Arial" w:hAnsi="Arial" w:cs="Arial"/>
                                <w:sz w:val="14"/>
                                <w:szCs w:val="14"/>
                              </w:rPr>
                              <w:t>High</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1FE1B3A7" id="_x0000_s1027" type="#_x0000_t202" style="position:absolute;margin-left:400.45pt;margin-top:41.85pt;width:41.9pt;height:110.6pt;z-index:2516971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" stroked="f">
                <v:textbox style="mso-fit-shape-to-text:t">
                  <w:txbxContent>
                    <w:p w14:paraId="2A033C93" w14:textId="77777777" w:rsidR="008B4D33" w:rsidRPr="009E48FA" w:rsidRDefault="008B4D33" w:rsidP="006E5D33">
                      <w:pPr>
                        <w:rPr>
                          <w:rFonts w:ascii="Arial" w:hAnsi="Arial" w:cs="Arial"/>
                          <w:sz w:val="14"/>
                          <w:szCs w:val="14"/>
                        </w:rPr>
                      </w:pPr>
                      <w:r w:rsidRPr="009E48FA">
                        <w:rPr>
                          <w:rFonts w:ascii="Arial" w:hAnsi="Arial" w:cs="Arial"/>
                          <w:sz w:val="14"/>
                          <w:szCs w:val="14"/>
                        </w:rPr>
                        <w:t>High</w:t>
                      </w:r>
                    </w:p>
                  </w:txbxContent>
                </v:textbox>
              </v:shape>
            </w:pict>
          </mc:Fallback>
        </mc:AlternateContent>
      </w:r>
      <w:r w:rsidRPr="001E21F5">
        <w:rPr>
          <w:rFonts w:ascii="Arial" w:hAnsi="Arial" w:cs="Arial"/>
          <w:b/>
          <w:bCs/>
          <w:noProof/>
          <w:sz w:val="22"/>
          <w:szCs w:val="22"/>
        </w:rPr>
        <mc:AlternateContent>
          <mc:Choice Requires="wps">
            <w:drawing>
              <wp:anchor distT="45720" distB="45720" distL="114300" distR="114300" simplePos="0" relativeHeight="251698176" behindDoc="0" locked="0" layoutInCell="1" allowOverlap="1" wp14:anchorId="4365FF47" wp14:editId="1211E392">
                <wp:simplePos x="0" y="0"/>
                <wp:positionH relativeFrom="column">
                  <wp:posOffset>5070475</wp:posOffset>
                </wp:positionH>
                <wp:positionV relativeFrom="paragraph">
                  <wp:posOffset>204038</wp:posOffset>
                </wp:positionV>
                <wp:extent cx="532263" cy="1404620"/>
                <wp:effectExtent l="0" t="0" r="1270" b="698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263" cy="1404620"/>
                        </a:xfrm>
                        <a:prstGeom prst="rect">
                          <a:avLst/>
                        </a:prstGeom>
                        <a:solidFill>
                          <a:srgbClr val="FFFFFF"/>
                        </a:solidFill>
                        <a:ln w="9525">
                          <a:noFill/>
                          <a:miter lim="800000"/>
                          <a:headEnd/>
                          <a:tailEnd/>
                        </a:ln>
                      </wps:spPr>
                      <wps:txbx>
                        <w:txbxContent>
                          <w:p w14:paraId="323BF3C6" w14:textId="77777777" w:rsidR="008B4D33" w:rsidRPr="009E48FA" w:rsidRDefault="008B4D33" w:rsidP="006E5D33">
                            <w:pPr>
                              <w:rPr>
                                <w:rFonts w:ascii="Arial" w:hAnsi="Arial" w:cs="Arial"/>
                                <w:sz w:val="14"/>
                                <w:szCs w:val="14"/>
                              </w:rPr>
                            </w:pPr>
                            <w:r w:rsidRPr="009E48FA">
                              <w:rPr>
                                <w:rFonts w:ascii="Arial" w:hAnsi="Arial" w:cs="Arial"/>
                                <w:sz w:val="14"/>
                                <w:szCs w:val="14"/>
                              </w:rPr>
                              <w:t>Low</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4365FF47" id="_x0000_s1028" type="#_x0000_t202" style="position:absolute;margin-left:399.25pt;margin-top:16.05pt;width:41.9pt;height:110.6pt;z-index:2516981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" stroked="f">
                <v:textbox style="mso-fit-shape-to-text:t">
                  <w:txbxContent>
                    <w:p w14:paraId="323BF3C6" w14:textId="77777777" w:rsidR="008B4D33" w:rsidRPr="009E48FA" w:rsidRDefault="008B4D33" w:rsidP="006E5D33">
                      <w:pPr>
                        <w:rPr>
                          <w:rFonts w:ascii="Arial" w:hAnsi="Arial" w:cs="Arial"/>
                          <w:sz w:val="14"/>
                          <w:szCs w:val="14"/>
                        </w:rPr>
                      </w:pPr>
                      <w:r w:rsidRPr="009E48FA">
                        <w:rPr>
                          <w:rFonts w:ascii="Arial" w:hAnsi="Arial" w:cs="Arial"/>
                          <w:sz w:val="14"/>
                          <w:szCs w:val="14"/>
                        </w:rPr>
                        <w:t>Low</w:t>
                      </w:r>
                    </w:p>
                  </w:txbxContent>
                </v:textbox>
              </v:shape>
            </w:pict>
          </mc:Fallback>
        </mc:AlternateContent>
      </w:r>
      <w:r w:rsidRPr="007A6F5D">
        <w:rPr>
          <w:rFonts w:ascii="Arial" w:hAnsi="Arial" w:cs="Arial"/>
          <w:i/>
          <w:iCs/>
          <w:noProof/>
          <w:sz w:val="22"/>
          <w:szCs w:val="22"/>
        </w:rPr>
        <w:drawing>
          <wp:anchor distT="0" distB="0" distL="114300" distR="114300" simplePos="0" relativeHeight="251696128" behindDoc="0" locked="0" layoutInCell="1" allowOverlap="1" wp14:anchorId="48C50E58" wp14:editId="19D8DC68">
            <wp:simplePos x="0" y="0"/>
            <wp:positionH relativeFrom="column">
              <wp:posOffset>4260850</wp:posOffset>
            </wp:positionH>
            <wp:positionV relativeFrom="paragraph">
              <wp:posOffset>133350</wp:posOffset>
            </wp:positionV>
            <wp:extent cx="825500" cy="615231"/>
            <wp:effectExtent l="0" t="0" r="0" b="0"/>
            <wp:wrapNone/>
            <wp:docPr id="8" name="Picture 8"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834282" cy="621776"/>
                    </a:xfrm>
                    <a:prstGeom prst="rect">
                      <a:avLst/>
                    </a:prstGeom>
                  </pic:spPr>
                </pic:pic>
              </a:graphicData>
            </a:graphic>
            <wp14:sizeRelH relativeFrom="margin">
              <wp14:pctWidth>0</wp14:pctWidth>
            </wp14:sizeRelH>
            <wp14:sizeRelV relativeFrom="margin">
              <wp14:pctHeight>0</wp14:pctHeight>
            </wp14:sizeRelV>
          </wp:anchor>
        </w:drawing>
      </w:r>
      <w:r w:rsidRPr="009E48FA">
        <w:rPr>
          <w:rFonts w:ascii="Arial" w:hAnsi="Arial" w:cs="Arial"/>
          <w:b/>
          <w:bCs/>
          <w:noProof/>
          <w:sz w:val="22"/>
          <w:szCs w:val="22"/>
        </w:rPr>
        <w:drawing>
          <wp:inline distT="0" distB="0" distL="0" distR="0" wp14:anchorId="403BC0F5" wp14:editId="40091307">
            <wp:extent cx="5486400" cy="3131820"/>
            <wp:effectExtent l="0" t="0" r="0" b="0"/>
            <wp:docPr id="608481927" name="Picture 1" descr="A picture containing map, tex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481927" name="Picture 1" descr="A picture containing map, text, diagram&#10;&#10;Description automatically generated"/>
                    <pic:cNvPicPr/>
                  </pic:nvPicPr>
                  <pic:blipFill>
                    <a:blip r:embed="rId22"/>
                    <a:stretch>
                      <a:fillRect/>
                    </a:stretch>
                  </pic:blipFill>
                  <pic:spPr>
                    <a:xfrm>
                      <a:off x="0" y="0"/>
                      <a:ext cx="5486400" cy="3131820"/>
                    </a:xfrm>
                    <a:prstGeom prst="rect">
                      <a:avLst/>
                    </a:prstGeom>
                  </pic:spPr>
                </pic:pic>
              </a:graphicData>
            </a:graphic>
          </wp:inline>
        </w:drawing>
      </w:r>
      <w:r>
        <w:rPr>
          <w:rFonts w:ascii="Arial" w:hAnsi="Arial" w:cs="Arial"/>
          <w:b/>
          <w:bCs/>
          <w:sz w:val="22"/>
          <w:szCs w:val="22"/>
        </w:rPr>
        <w:br w:type="textWrapping" w:clear="all"/>
      </w:r>
    </w:p>
    <w:p w14:paraId="331D00BD" w14:textId="77777777" w:rsidR="008B4D33" w:rsidRDefault="008B4D33" w:rsidP="006E5D33">
      <w:pPr>
        <w:tabs>
          <w:tab w:val="left" w:pos="2076"/>
        </w:tabs>
        <w:rPr>
          <w:rFonts w:ascii="Arial" w:hAnsi="Arial" w:cs="Arial"/>
          <w:b/>
          <w:bCs/>
          <w:sz w:val="22"/>
          <w:szCs w:val="22"/>
        </w:rPr>
      </w:pPr>
    </w:p>
    <w:p w14:paraId="7AB22EF8" w14:textId="77777777" w:rsidR="008B4D33" w:rsidRDefault="008B4D33" w:rsidP="006E5D33">
      <w:pPr>
        <w:keepNext/>
        <w:spacing w:after="120"/>
        <w:jc w:val="both"/>
        <w:outlineLvl w:val="2"/>
        <w:rPr>
          <w:rFonts w:ascii="Arial" w:hAnsi="Arial" w:cs="Arial"/>
          <w:b/>
          <w:bCs/>
          <w:sz w:val="22"/>
          <w:szCs w:val="22"/>
          <w:u w:val="single"/>
        </w:rPr>
      </w:pPr>
    </w:p>
    <w:p w14:paraId="20C0D7E8" w14:textId="77777777" w:rsidR="008B4D33" w:rsidRDefault="008B4D33" w:rsidP="00A0673D">
      <w:pPr>
        <w:pStyle w:val="WMP-header4"/>
        <w:outlineLvl w:val="3"/>
      </w:pPr>
      <w:bookmarkStart w:id="19" w:name="_Toc111629325"/>
      <w:r w:rsidRPr="001F5ED3">
        <w:t>2.3.1.2 Phosphorus</w:t>
      </w:r>
      <w:bookmarkEnd w:id="19"/>
    </w:p>
    <w:p w14:paraId="04C4C216" w14:textId="77777777" w:rsidR="008B4D33" w:rsidRPr="001F5ED3" w:rsidRDefault="008B4D33" w:rsidP="00E37011">
      <w:pPr>
        <w:pStyle w:val="WMP-header4"/>
      </w:pPr>
    </w:p>
    <w:p w14:paraId="2127A3D8" w14:textId="77777777" w:rsidR="008B4D33" w:rsidRPr="0069444C" w:rsidRDefault="008B4D33" w:rsidP="006E5D33">
      <w:pPr>
        <w:rPr>
          <w:rFonts w:ascii="Arial" w:hAnsi="Arial" w:cs="Arial"/>
          <w:sz w:val="22"/>
          <w:szCs w:val="22"/>
        </w:rPr>
      </w:pPr>
      <w:r w:rsidRPr="0069444C">
        <w:rPr>
          <w:rFonts w:ascii="Arial" w:hAnsi="Arial" w:cs="Arial"/>
          <w:sz w:val="22"/>
          <w:szCs w:val="22"/>
        </w:rPr>
        <w:t xml:space="preserve">Phosphorus and nitrogen are nutrients essential for the growth of aquatic plants. Phosphorus is needed for plant growth and is required for many metabolic reactions in plants and animals. Generally, phosphorus is the limiting nutrient in freshwater aquatic </w:t>
      </w:r>
      <w:r w:rsidRPr="0069444C">
        <w:rPr>
          <w:rFonts w:ascii="Arial" w:hAnsi="Arial" w:cs="Arial"/>
          <w:sz w:val="22"/>
          <w:szCs w:val="22"/>
        </w:rPr>
        <w:lastRenderedPageBreak/>
        <w:t xml:space="preserve">systems. That is, if all phosphorus is used up, then plant growth will cease no matter how much nitrogen is available. Phosphorus is the main parameter of concern that causes excessive plant and algae growth (eutrophication) in lakes and impoundments. </w:t>
      </w:r>
      <w:bookmarkStart w:id="20" w:name="eutrophication"/>
      <w:r w:rsidRPr="0069444C">
        <w:rPr>
          <w:rFonts w:ascii="Arial" w:hAnsi="Arial" w:cs="Arial"/>
          <w:sz w:val="22"/>
          <w:szCs w:val="22"/>
        </w:rPr>
        <w:t>The extent to which this process has occurred is reflected in a lake's trophic classification: oligotrophic (nutrient-poor or low plant productivity), mesotrophic (moderate nutrient levels and moderate plant productivity), eutrophic (nutrient-rich, high</w:t>
      </w:r>
      <w:bookmarkEnd w:id="20"/>
      <w:r w:rsidRPr="0069444C">
        <w:rPr>
          <w:rFonts w:ascii="Arial" w:hAnsi="Arial" w:cs="Arial"/>
          <w:sz w:val="22"/>
          <w:szCs w:val="22"/>
        </w:rPr>
        <w:t xml:space="preserve"> plant productivity) and hypereutrophic (excessive plant productivity and excessive nutrients).  Eutrophic and hypereutrophic conditions are characterized by depletion of dissolved oxygen in the water. Low levels of dissolved oxygen adversely affect aquatic animal populations and can cause fish kills. High nutrient concentrations interfere with recreation and aesthetic enjoyment of waterbodies by causing reduced water clarity, unpleasant swimming conditions, foul odors, blooms of toxic and nontoxic organisms, and interference with boating. </w:t>
      </w:r>
    </w:p>
    <w:p w14:paraId="08C550AA" w14:textId="77777777" w:rsidR="008B4D33" w:rsidRPr="0069444C" w:rsidRDefault="008B4D33" w:rsidP="006E5D33">
      <w:pPr>
        <w:rPr>
          <w:rFonts w:ascii="Arial" w:hAnsi="Arial" w:cs="Arial"/>
          <w:sz w:val="22"/>
          <w:szCs w:val="22"/>
        </w:rPr>
      </w:pPr>
    </w:p>
    <w:p w14:paraId="14B45045" w14:textId="77777777" w:rsidR="008B4D33" w:rsidRPr="0069444C" w:rsidRDefault="008B4D33" w:rsidP="006E5D33">
      <w:pPr>
        <w:rPr>
          <w:rFonts w:ascii="Arial" w:hAnsi="Arial" w:cs="Arial"/>
          <w:sz w:val="22"/>
          <w:szCs w:val="22"/>
        </w:rPr>
      </w:pPr>
      <w:r w:rsidRPr="0069444C">
        <w:rPr>
          <w:rFonts w:ascii="Arial" w:hAnsi="Arial" w:cs="Arial"/>
          <w:sz w:val="22"/>
          <w:szCs w:val="22"/>
        </w:rPr>
        <w:t xml:space="preserve">Phosphorus enters surface waters from point and nonpoint sources, with nonpoint sources accounting for the vast majority of phosphorus loading in the Watershed.  Wastewater treatment plants are the primary point sources </w:t>
      </w:r>
      <w:proofErr w:type="gramStart"/>
      <w:r w:rsidRPr="0069444C">
        <w:rPr>
          <w:rFonts w:ascii="Arial" w:hAnsi="Arial" w:cs="Arial"/>
          <w:sz w:val="22"/>
          <w:szCs w:val="22"/>
        </w:rPr>
        <w:t>of the nutrient</w:t>
      </w:r>
      <w:proofErr w:type="gramEnd"/>
      <w:r w:rsidRPr="0069444C">
        <w:rPr>
          <w:rFonts w:ascii="Arial" w:hAnsi="Arial" w:cs="Arial"/>
          <w:sz w:val="22"/>
          <w:szCs w:val="22"/>
        </w:rPr>
        <w:t xml:space="preserve">.  Additional phosphorus originates from the use of industrial products, such as toothpaste, detergents, </w:t>
      </w:r>
      <w:proofErr w:type="gramStart"/>
      <w:r w:rsidRPr="0069444C">
        <w:rPr>
          <w:rFonts w:ascii="Arial" w:hAnsi="Arial" w:cs="Arial"/>
          <w:sz w:val="22"/>
          <w:szCs w:val="22"/>
        </w:rPr>
        <w:t>pharmaceuticals</w:t>
      </w:r>
      <w:proofErr w:type="gramEnd"/>
      <w:r w:rsidRPr="0069444C">
        <w:rPr>
          <w:rFonts w:ascii="Arial" w:hAnsi="Arial" w:cs="Arial"/>
          <w:sz w:val="22"/>
          <w:szCs w:val="22"/>
        </w:rPr>
        <w:t xml:space="preserve"> and food-treating compounds. Tertiary treatment of wastewater, through biological removal or chemical precipitation, is necessary to remove more than 30% of phosphorus.</w:t>
      </w:r>
    </w:p>
    <w:p w14:paraId="6478179E" w14:textId="77777777" w:rsidR="008B4D33" w:rsidRPr="0069444C" w:rsidRDefault="008B4D33" w:rsidP="006E5D33">
      <w:pPr>
        <w:rPr>
          <w:rFonts w:ascii="Arial" w:hAnsi="Arial" w:cs="Arial"/>
          <w:sz w:val="22"/>
          <w:szCs w:val="22"/>
        </w:rPr>
      </w:pPr>
    </w:p>
    <w:p w14:paraId="6E2EFD36" w14:textId="77777777" w:rsidR="008B4D33" w:rsidRPr="0069444C" w:rsidRDefault="008B4D33" w:rsidP="006E5D33">
      <w:pPr>
        <w:rPr>
          <w:rFonts w:ascii="Arial" w:hAnsi="Arial" w:cs="Arial"/>
          <w:sz w:val="22"/>
          <w:szCs w:val="22"/>
        </w:rPr>
      </w:pPr>
      <w:r w:rsidRPr="0069444C">
        <w:rPr>
          <w:rFonts w:ascii="Arial" w:hAnsi="Arial" w:cs="Arial"/>
          <w:sz w:val="22"/>
          <w:szCs w:val="22"/>
        </w:rPr>
        <w:t xml:space="preserve">Nonpoint sources of phosphorus include human, natural, and animal sources. Because phosphorus has a strong affinity for soil, stormwater runoff from activities that dislodge soil or introduce excess phosphorus (such as conversion of land to urban uses and over-fertilization of lawns) is frequently considered the major nonpoint source of phosphorus contribution to waterbodies.  Eroded sediments from agricultural areas carry phosphorus-containing soil to surface waters. Septic system failures and illicit connections </w:t>
      </w:r>
      <w:proofErr w:type="gramStart"/>
      <w:r w:rsidRPr="0069444C">
        <w:rPr>
          <w:rFonts w:ascii="Arial" w:hAnsi="Arial" w:cs="Arial"/>
          <w:sz w:val="22"/>
          <w:szCs w:val="22"/>
        </w:rPr>
        <w:t>also are</w:t>
      </w:r>
      <w:proofErr w:type="gramEnd"/>
      <w:r w:rsidRPr="0069444C">
        <w:rPr>
          <w:rFonts w:ascii="Arial" w:hAnsi="Arial" w:cs="Arial"/>
          <w:sz w:val="22"/>
          <w:szCs w:val="22"/>
        </w:rPr>
        <w:t xml:space="preserve"> routes for phosphorus introduction. Domesticated animal and pet wastes that enter surface waters comprise another nonpoint source of phosphorus.  Natural sources include phosphate deposits and phosphate-rich rocks that release phosphorus during weathering, </w:t>
      </w:r>
      <w:proofErr w:type="gramStart"/>
      <w:r w:rsidRPr="0069444C">
        <w:rPr>
          <w:rFonts w:ascii="Arial" w:hAnsi="Arial" w:cs="Arial"/>
          <w:sz w:val="22"/>
          <w:szCs w:val="22"/>
        </w:rPr>
        <w:t>erosion</w:t>
      </w:r>
      <w:proofErr w:type="gramEnd"/>
      <w:r w:rsidRPr="0069444C">
        <w:rPr>
          <w:rFonts w:ascii="Arial" w:hAnsi="Arial" w:cs="Arial"/>
          <w:sz w:val="22"/>
          <w:szCs w:val="22"/>
        </w:rPr>
        <w:t xml:space="preserve"> and leaching; and sediments in lakes and reservoirs that release phosphorus during seasonal overturns. </w:t>
      </w:r>
      <w:r>
        <w:rPr>
          <w:rFonts w:ascii="Arial" w:hAnsi="Arial" w:cs="Arial"/>
          <w:sz w:val="22"/>
          <w:szCs w:val="22"/>
        </w:rPr>
        <w:t>EGLE</w:t>
      </w:r>
      <w:r w:rsidRPr="0069444C">
        <w:rPr>
          <w:rFonts w:ascii="Arial" w:hAnsi="Arial" w:cs="Arial"/>
          <w:sz w:val="22"/>
          <w:szCs w:val="22"/>
        </w:rPr>
        <w:t xml:space="preserve"> considers total phosphorus concentrations higher than 0.03 mg/L (parts per million) to have the potential to cause eutrophic conditions.</w:t>
      </w:r>
    </w:p>
    <w:p w14:paraId="1BB4E147" w14:textId="77777777" w:rsidR="008B4D33" w:rsidRPr="00153505" w:rsidRDefault="008B4D33" w:rsidP="006E5D33">
      <w:pPr>
        <w:rPr>
          <w:rFonts w:ascii="Arial" w:hAnsi="Arial" w:cs="Arial"/>
          <w:sz w:val="22"/>
          <w:szCs w:val="22"/>
        </w:rPr>
      </w:pPr>
    </w:p>
    <w:p w14:paraId="05332090" w14:textId="77777777" w:rsidR="008B4D33" w:rsidRDefault="008B4D33" w:rsidP="006E5D33">
      <w:pPr>
        <w:rPr>
          <w:rFonts w:ascii="Arial" w:eastAsia="Arial" w:hAnsi="Arial" w:cs="Arial"/>
          <w:color w:val="FF0000"/>
          <w:sz w:val="22"/>
          <w:szCs w:val="22"/>
        </w:rPr>
      </w:pPr>
      <w:r w:rsidRPr="00153505">
        <w:rPr>
          <w:rFonts w:ascii="Arial" w:eastAsia="Arial" w:hAnsi="Arial" w:cs="Arial"/>
          <w:sz w:val="22"/>
          <w:szCs w:val="22"/>
        </w:rPr>
        <w:t xml:space="preserve">Due to the persistent and systemic presence of high concentrations of phosphorus in Ford and Belleville Lakes, as well as the Huron River and tributaries upstream in the watershed, high nutrient loading is the top challenge identified in this Plan.  A TMDL for excessive phosphorus loading from point and nonpoint sources has been established for Ford and Belleville Lakes and their contributing waters. While the flowing Huron River and its tributaries do not generally show signs of excessive phosphorus concentrations, the impoundments along these waterways tend to act as sinks for phosphorus loading, which can lead to eutrophic conditions.  </w:t>
      </w:r>
      <w:r w:rsidRPr="00153505">
        <w:rPr>
          <w:rFonts w:ascii="Arial" w:eastAsia="Arial" w:hAnsi="Arial" w:cs="Arial"/>
          <w:color w:val="FF0000"/>
          <w:sz w:val="22"/>
          <w:szCs w:val="22"/>
        </w:rPr>
        <w:t xml:space="preserve"> </w:t>
      </w:r>
    </w:p>
    <w:p w14:paraId="1574D788" w14:textId="77777777" w:rsidR="008B4D33" w:rsidRDefault="008B4D33" w:rsidP="006E5D33">
      <w:pPr>
        <w:spacing w:before="120" w:after="120"/>
        <w:rPr>
          <w:rFonts w:ascii="Arial" w:hAnsi="Arial" w:cs="Arial"/>
          <w:b/>
          <w:bCs/>
          <w:sz w:val="22"/>
          <w:szCs w:val="22"/>
          <w:u w:val="single"/>
        </w:rPr>
      </w:pPr>
    </w:p>
    <w:p w14:paraId="3E7D3E1E" w14:textId="77777777" w:rsidR="008B4D33" w:rsidRPr="008A3762" w:rsidRDefault="008B4D33" w:rsidP="00A0673D">
      <w:pPr>
        <w:pStyle w:val="WMP-header4"/>
        <w:outlineLvl w:val="3"/>
        <w:rPr>
          <w:u w:val="single"/>
        </w:rPr>
      </w:pPr>
      <w:bookmarkStart w:id="21" w:name="_Toc111629326"/>
      <w:r w:rsidRPr="001F5ED3">
        <w:t>2.3.1.</w:t>
      </w:r>
      <w:r>
        <w:t>3</w:t>
      </w:r>
      <w:r w:rsidRPr="001F5ED3">
        <w:t xml:space="preserve"> Nitrogen</w:t>
      </w:r>
      <w:bookmarkEnd w:id="21"/>
    </w:p>
    <w:p w14:paraId="65C4EA33" w14:textId="44E0C86E" w:rsidR="008B4D33" w:rsidRPr="0069444C" w:rsidRDefault="008B4D33" w:rsidP="006E5D33">
      <w:pPr>
        <w:rPr>
          <w:rFonts w:ascii="Arial" w:hAnsi="Arial" w:cs="Arial"/>
          <w:sz w:val="22"/>
          <w:szCs w:val="22"/>
        </w:rPr>
      </w:pPr>
      <w:r w:rsidRPr="0069444C">
        <w:rPr>
          <w:rFonts w:ascii="Arial" w:hAnsi="Arial" w:cs="Arial"/>
          <w:sz w:val="22"/>
          <w:szCs w:val="22"/>
        </w:rPr>
        <w:t xml:space="preserve">Nitrogen is also considered essential in determining algae growth in lakes and is found in a number of forms, including molecular nitrogen, ammonia, nitrates, and nitrites. Nitrogen is often found in waterbodies at higher concentrations than phosphorus. Consequently, nitrogen is often not considered the limiting nutrient to detrimental growth. </w:t>
      </w:r>
      <w:r w:rsidRPr="0069444C">
        <w:rPr>
          <w:rFonts w:ascii="Arial" w:hAnsi="Arial" w:cs="Arial"/>
          <w:sz w:val="22"/>
          <w:szCs w:val="22"/>
        </w:rPr>
        <w:lastRenderedPageBreak/>
        <w:t xml:space="preserve">Additionally, unlike phosphorus loading, nitrogen loading is often difficult to reduce due to the </w:t>
      </w:r>
      <w:proofErr w:type="gramStart"/>
      <w:r w:rsidRPr="0069444C">
        <w:rPr>
          <w:rFonts w:ascii="Arial" w:hAnsi="Arial" w:cs="Arial"/>
          <w:sz w:val="22"/>
          <w:szCs w:val="22"/>
        </w:rPr>
        <w:t>high</w:t>
      </w:r>
      <w:r>
        <w:rPr>
          <w:rFonts w:ascii="Arial" w:hAnsi="Arial" w:cs="Arial"/>
          <w:sz w:val="22"/>
          <w:szCs w:val="22"/>
        </w:rPr>
        <w:t xml:space="preserve"> water</w:t>
      </w:r>
      <w:proofErr w:type="gramEnd"/>
      <w:r w:rsidRPr="0069444C">
        <w:rPr>
          <w:rFonts w:ascii="Arial" w:hAnsi="Arial" w:cs="Arial"/>
          <w:sz w:val="22"/>
          <w:szCs w:val="22"/>
        </w:rPr>
        <w:t xml:space="preserve"> solubility of nitrogen. Therefore, concerns regarding nitrogen and its role in eutrophication often are considered secondary to phosphorus in southeast Michigan. However, studies have shown that high nitrate concentrations, even with</w:t>
      </w:r>
      <w:r>
        <w:rPr>
          <w:rFonts w:ascii="Arial" w:hAnsi="Arial" w:cs="Arial"/>
          <w:sz w:val="22"/>
          <w:szCs w:val="22"/>
        </w:rPr>
        <w:t xml:space="preserve"> p</w:t>
      </w:r>
      <w:r w:rsidRPr="0069444C">
        <w:rPr>
          <w:rFonts w:ascii="Arial" w:hAnsi="Arial" w:cs="Arial"/>
          <w:sz w:val="22"/>
          <w:szCs w:val="22"/>
        </w:rPr>
        <w:t xml:space="preserve">hosphorus limitations, can promote eutrophication. </w:t>
      </w:r>
      <w:r>
        <w:rPr>
          <w:rFonts w:ascii="Arial" w:hAnsi="Arial" w:cs="Arial"/>
          <w:sz w:val="22"/>
          <w:szCs w:val="22"/>
        </w:rPr>
        <w:t>In addition, studies also reveal that dual control on nitrogen and phosphorus result in short term reductions in eutrophication.</w:t>
      </w:r>
      <w:r w:rsidRPr="0069444C">
        <w:rPr>
          <w:rFonts w:ascii="Arial" w:hAnsi="Arial" w:cs="Arial"/>
          <w:sz w:val="22"/>
          <w:szCs w:val="22"/>
        </w:rPr>
        <w:t xml:space="preserve"> Typical sources of nitrogen in surface waters include human and animal wastes, decomposing organic matter, and runoff from fertilizers. Improperly operated wastewater treatment plants and septic systems, as well as sewer pipeline leaks also can act as additional sources of nitrogen to waterbodies. </w:t>
      </w:r>
      <w:r>
        <w:rPr>
          <w:rFonts w:ascii="Arial" w:hAnsi="Arial" w:cs="Arial"/>
          <w:sz w:val="22"/>
          <w:szCs w:val="22"/>
        </w:rPr>
        <w:t>EGLE</w:t>
      </w:r>
      <w:r w:rsidRPr="0069444C">
        <w:rPr>
          <w:rFonts w:ascii="Arial" w:hAnsi="Arial" w:cs="Arial"/>
          <w:sz w:val="22"/>
          <w:szCs w:val="22"/>
        </w:rPr>
        <w:t xml:space="preserve"> considers total nitrogen levels greater than 1 to 2 mg/L to have the potential to cause eutrophic conditions.  Nitrate levels above 10 mg/L are considered unsafe for drinking water</w:t>
      </w:r>
      <w:r w:rsidRPr="00C40AE3">
        <w:rPr>
          <w:rFonts w:ascii="Arial" w:hAnsi="Arial" w:cs="Arial"/>
          <w:sz w:val="22"/>
          <w:szCs w:val="22"/>
          <w:vertAlign w:val="superscript"/>
        </w:rPr>
        <w:endnoteReference w:id="12"/>
      </w:r>
      <w:r w:rsidRPr="0069444C">
        <w:rPr>
          <w:rFonts w:ascii="Arial" w:hAnsi="Arial" w:cs="Arial"/>
          <w:sz w:val="22"/>
          <w:szCs w:val="22"/>
        </w:rPr>
        <w:t>.</w:t>
      </w:r>
    </w:p>
    <w:p w14:paraId="4E59968B" w14:textId="77777777" w:rsidR="008B4D33" w:rsidRDefault="008B4D33" w:rsidP="006E5D33">
      <w:pPr>
        <w:rPr>
          <w:rFonts w:ascii="Arial" w:hAnsi="Arial" w:cs="Arial"/>
          <w:color w:val="FF0000"/>
          <w:sz w:val="22"/>
          <w:szCs w:val="22"/>
        </w:rPr>
      </w:pPr>
    </w:p>
    <w:p w14:paraId="5DF1418A" w14:textId="77777777" w:rsidR="008B4D33" w:rsidRPr="008A3762" w:rsidRDefault="008B4D33" w:rsidP="00A0673D">
      <w:pPr>
        <w:pStyle w:val="WMP-header4"/>
        <w:outlineLvl w:val="3"/>
        <w:rPr>
          <w:u w:val="single"/>
        </w:rPr>
      </w:pPr>
      <w:bookmarkStart w:id="22" w:name="_Toc111629327"/>
      <w:r w:rsidRPr="001F5ED3">
        <w:t>2.3.1.</w:t>
      </w:r>
      <w:r>
        <w:t>4</w:t>
      </w:r>
      <w:r w:rsidRPr="001F5ED3">
        <w:t xml:space="preserve"> Salts, Conductivity, and Total Dissolved Solids</w:t>
      </w:r>
      <w:bookmarkEnd w:id="22"/>
      <w:r w:rsidRPr="008A3762">
        <w:rPr>
          <w:u w:val="single"/>
        </w:rPr>
        <w:t xml:space="preserve"> </w:t>
      </w:r>
    </w:p>
    <w:p w14:paraId="0B6C2C51" w14:textId="77777777" w:rsidR="008B4D33" w:rsidRDefault="008B4D33" w:rsidP="006E5D33">
      <w:pPr>
        <w:spacing w:before="120"/>
        <w:rPr>
          <w:rFonts w:ascii="Arial" w:eastAsia="Arial" w:hAnsi="Arial" w:cs="Arial"/>
          <w:sz w:val="22"/>
          <w:szCs w:val="22"/>
        </w:rPr>
      </w:pPr>
      <w:r w:rsidRPr="00153505">
        <w:rPr>
          <w:rFonts w:ascii="Arial" w:eastAsia="Arial" w:hAnsi="Arial" w:cs="Arial"/>
          <w:sz w:val="22"/>
          <w:szCs w:val="22"/>
        </w:rPr>
        <w:t xml:space="preserve">Salts typically enter waterways from road salting (de-icing) operations or from water softener backwash discharge into the environment.  De-icing products, primarily sodium chloride, are used locally by MDOT, county road commissions, homeowners, and business/commercial establishments.  Salts are highly soluble in water and easily wash off pavement into surface waters and leach into soil and groundwater.  High concentrations of salt can damage and kill vegetation, disrupt fish spawning in streams, reduce oxygen solubility in surface water, interfere with the chemical and physical characteristics of a lake, and pollute groundwater making well water undrinkable.  </w:t>
      </w:r>
    </w:p>
    <w:p w14:paraId="4FECE974" w14:textId="48420716" w:rsidR="008B4D33" w:rsidRPr="000D4A6F" w:rsidRDefault="008B4D33" w:rsidP="006E5D33">
      <w:pPr>
        <w:spacing w:before="120"/>
        <w:rPr>
          <w:rFonts w:ascii="Arial" w:eastAsia="Arial" w:hAnsi="Arial" w:cs="Arial"/>
          <w:sz w:val="22"/>
          <w:szCs w:val="22"/>
        </w:rPr>
      </w:pPr>
      <w:r w:rsidRPr="00153505">
        <w:rPr>
          <w:rFonts w:ascii="Arial" w:eastAsia="Arial" w:hAnsi="Arial" w:cs="Arial"/>
          <w:sz w:val="22"/>
          <w:szCs w:val="22"/>
        </w:rPr>
        <w:t>A study by the USGS in Oakland County on the effects of urban land use change on streamflow and water quality showed a strong positive correlation between salt ions (sodium, potassium, and chloride) and residential and commercial landcovers, as well as overall percentage of the watershed built, and population density.</w:t>
      </w:r>
      <w:r w:rsidRPr="00153505">
        <w:rPr>
          <w:rStyle w:val="EndnoteReference"/>
          <w:rFonts w:ascii="Arial" w:eastAsia="Arial" w:hAnsi="Arial" w:cs="Arial"/>
          <w:sz w:val="22"/>
          <w:szCs w:val="22"/>
        </w:rPr>
        <w:endnoteReference w:id="13"/>
      </w:r>
      <w:r w:rsidRPr="00153505">
        <w:rPr>
          <w:rFonts w:ascii="Arial" w:eastAsia="Arial" w:hAnsi="Arial" w:cs="Arial"/>
          <w:sz w:val="22"/>
          <w:szCs w:val="22"/>
        </w:rPr>
        <w:t xml:space="preserve">  These ions were negatively correlated with agriculture, open space, forest, and wetland land covers. While it may </w:t>
      </w:r>
      <w:r>
        <w:rPr>
          <w:rFonts w:ascii="Arial" w:eastAsia="Arial" w:hAnsi="Arial" w:cs="Arial"/>
          <w:sz w:val="22"/>
          <w:szCs w:val="22"/>
        </w:rPr>
        <w:t>be</w:t>
      </w:r>
      <w:r w:rsidRPr="00153505">
        <w:rPr>
          <w:rFonts w:ascii="Arial" w:eastAsia="Arial" w:hAnsi="Arial" w:cs="Arial"/>
          <w:sz w:val="22"/>
          <w:szCs w:val="22"/>
        </w:rPr>
        <w:t xml:space="preserve"> reasonably stated that the rapid urbanization in the Watershed has </w:t>
      </w:r>
      <w:r w:rsidRPr="00C40AE3">
        <w:rPr>
          <w:rFonts w:ascii="Arial" w:eastAsia="Arial" w:hAnsi="Arial" w:cs="Arial"/>
          <w:sz w:val="22"/>
          <w:szCs w:val="22"/>
        </w:rPr>
        <w:t>led</w:t>
      </w:r>
      <w:r w:rsidRPr="00153505">
        <w:rPr>
          <w:rFonts w:ascii="Arial" w:eastAsia="Arial" w:hAnsi="Arial" w:cs="Arial"/>
          <w:sz w:val="22"/>
          <w:szCs w:val="22"/>
        </w:rPr>
        <w:t xml:space="preserve"> to increased salt concentrations in the water, the extent to which this is occ</w:t>
      </w:r>
      <w:r>
        <w:rPr>
          <w:rFonts w:ascii="Arial" w:eastAsia="Arial" w:hAnsi="Arial" w:cs="Arial"/>
          <w:sz w:val="22"/>
          <w:szCs w:val="22"/>
        </w:rPr>
        <w:t>u</w:t>
      </w:r>
      <w:r w:rsidRPr="00153505">
        <w:rPr>
          <w:rFonts w:ascii="Arial" w:eastAsia="Arial" w:hAnsi="Arial" w:cs="Arial"/>
          <w:sz w:val="22"/>
          <w:szCs w:val="22"/>
        </w:rPr>
        <w:t>rring, and the impacts of these salt concentrations requires additional monitoring data and studies.</w:t>
      </w:r>
    </w:p>
    <w:p w14:paraId="4EC4F2AA" w14:textId="77777777" w:rsidR="008B4D33" w:rsidRDefault="008B4D33" w:rsidP="006E5D33">
      <w:pPr>
        <w:rPr>
          <w:rFonts w:ascii="Arial" w:hAnsi="Arial" w:cs="Arial"/>
          <w:sz w:val="22"/>
          <w:szCs w:val="22"/>
        </w:rPr>
      </w:pPr>
      <w:r w:rsidRPr="0069444C">
        <w:rPr>
          <w:rFonts w:ascii="Arial" w:hAnsi="Arial" w:cs="Arial"/>
          <w:sz w:val="22"/>
          <w:szCs w:val="22"/>
        </w:rPr>
        <w:t xml:space="preserve">Michigan </w:t>
      </w:r>
      <w:r>
        <w:rPr>
          <w:rFonts w:ascii="Arial" w:hAnsi="Arial" w:cs="Arial"/>
          <w:sz w:val="22"/>
          <w:szCs w:val="22"/>
        </w:rPr>
        <w:t xml:space="preserve">has a relatively new </w:t>
      </w:r>
      <w:r w:rsidRPr="0069444C">
        <w:rPr>
          <w:rFonts w:ascii="Arial" w:hAnsi="Arial" w:cs="Arial"/>
          <w:sz w:val="22"/>
          <w:szCs w:val="22"/>
        </w:rPr>
        <w:t>water quality standard</w:t>
      </w:r>
      <w:r>
        <w:rPr>
          <w:rFonts w:ascii="Arial" w:hAnsi="Arial" w:cs="Arial"/>
          <w:sz w:val="22"/>
          <w:szCs w:val="22"/>
        </w:rPr>
        <w:t xml:space="preserve"> for chloride concentration. Chloride is the most persistent and harmful component of most</w:t>
      </w:r>
      <w:r w:rsidRPr="0069444C">
        <w:rPr>
          <w:rFonts w:ascii="Arial" w:hAnsi="Arial" w:cs="Arial"/>
          <w:sz w:val="22"/>
          <w:szCs w:val="22"/>
        </w:rPr>
        <w:t xml:space="preserve"> salt</w:t>
      </w:r>
      <w:r>
        <w:rPr>
          <w:rFonts w:ascii="Arial" w:hAnsi="Arial" w:cs="Arial"/>
          <w:sz w:val="22"/>
          <w:szCs w:val="22"/>
        </w:rPr>
        <w:t>s.</w:t>
      </w:r>
      <w:r w:rsidRPr="0069444C">
        <w:rPr>
          <w:rFonts w:ascii="Arial" w:hAnsi="Arial" w:cs="Arial"/>
          <w:sz w:val="22"/>
          <w:szCs w:val="22"/>
        </w:rPr>
        <w:t xml:space="preserve"> </w:t>
      </w:r>
      <w:r>
        <w:rPr>
          <w:rFonts w:ascii="Arial" w:hAnsi="Arial" w:cs="Arial"/>
          <w:sz w:val="22"/>
          <w:szCs w:val="22"/>
        </w:rPr>
        <w:t>Based on this standard, the chronic and acute impacts on aquatic wildlife occur at relatively high chloride concentrations – approaching sea water concentrations.</w:t>
      </w:r>
      <w:r w:rsidRPr="0069444C">
        <w:rPr>
          <w:rFonts w:ascii="Arial" w:hAnsi="Arial" w:cs="Arial"/>
          <w:sz w:val="22"/>
          <w:szCs w:val="22"/>
        </w:rPr>
        <w:t xml:space="preserve">  </w:t>
      </w:r>
    </w:p>
    <w:p w14:paraId="749E3055" w14:textId="77777777" w:rsidR="008B4D33" w:rsidRDefault="008B4D33" w:rsidP="006E5D33">
      <w:pPr>
        <w:rPr>
          <w:rFonts w:ascii="Arial" w:hAnsi="Arial" w:cs="Arial"/>
          <w:sz w:val="22"/>
          <w:szCs w:val="22"/>
        </w:rPr>
      </w:pPr>
    </w:p>
    <w:p w14:paraId="73B11F24" w14:textId="0A1F421E" w:rsidR="008B4D33" w:rsidRDefault="008B4D33" w:rsidP="006E5D33">
      <w:pPr>
        <w:rPr>
          <w:rFonts w:ascii="Arial" w:hAnsi="Arial" w:cs="Arial"/>
          <w:sz w:val="22"/>
          <w:szCs w:val="22"/>
        </w:rPr>
      </w:pPr>
      <w:r w:rsidRPr="0069444C">
        <w:rPr>
          <w:rFonts w:ascii="Arial" w:hAnsi="Arial" w:cs="Arial"/>
          <w:sz w:val="22"/>
          <w:szCs w:val="22"/>
        </w:rPr>
        <w:t>Best management practices to reduce salt inputs may include the use of alternative road deicers such as calcium carbonate</w:t>
      </w:r>
      <w:r>
        <w:rPr>
          <w:rFonts w:ascii="Arial" w:hAnsi="Arial" w:cs="Arial"/>
          <w:sz w:val="22"/>
          <w:szCs w:val="22"/>
        </w:rPr>
        <w:t>, magnesium chloride</w:t>
      </w:r>
      <w:r w:rsidRPr="0069444C">
        <w:rPr>
          <w:rFonts w:ascii="Arial" w:hAnsi="Arial" w:cs="Arial"/>
          <w:sz w:val="22"/>
          <w:szCs w:val="22"/>
        </w:rPr>
        <w:t xml:space="preserve"> or calcium acetate that are not as detrimental to water quality.  In addition to salt alternatives, proper calibration of salt dispensing equipment and optimizing the timing of deicing applications can reduce over-use of salt and alternative deicers.</w:t>
      </w:r>
    </w:p>
    <w:p w14:paraId="6D04A86E" w14:textId="77777777" w:rsidR="008B4D33" w:rsidRDefault="008B4D33" w:rsidP="006E5D33">
      <w:pPr>
        <w:spacing w:before="120"/>
        <w:rPr>
          <w:rFonts w:ascii="Arial" w:hAnsi="Arial" w:cs="Arial"/>
          <w:sz w:val="22"/>
          <w:szCs w:val="22"/>
        </w:rPr>
      </w:pPr>
      <w:r w:rsidRPr="00360C61">
        <w:rPr>
          <w:rFonts w:ascii="Arial" w:hAnsi="Arial" w:cs="Arial"/>
          <w:sz w:val="22"/>
          <w:szCs w:val="22"/>
        </w:rPr>
        <w:t xml:space="preserve">Conductivity, a </w:t>
      </w:r>
      <w:r>
        <w:rPr>
          <w:rFonts w:ascii="Arial" w:hAnsi="Arial" w:cs="Arial"/>
          <w:sz w:val="22"/>
          <w:szCs w:val="22"/>
        </w:rPr>
        <w:t xml:space="preserve">broad indicator </w:t>
      </w:r>
      <w:r w:rsidRPr="00360C61">
        <w:rPr>
          <w:rFonts w:ascii="Arial" w:hAnsi="Arial" w:cs="Arial"/>
          <w:sz w:val="22"/>
          <w:szCs w:val="22"/>
        </w:rPr>
        <w:t xml:space="preserve">of general water quality, increases with the </w:t>
      </w:r>
      <w:proofErr w:type="gramStart"/>
      <w:r w:rsidRPr="00360C61">
        <w:rPr>
          <w:rFonts w:ascii="Arial" w:hAnsi="Arial" w:cs="Arial"/>
          <w:sz w:val="22"/>
          <w:szCs w:val="22"/>
        </w:rPr>
        <w:t>amount</w:t>
      </w:r>
      <w:proofErr w:type="gramEnd"/>
      <w:r w:rsidRPr="00360C61">
        <w:rPr>
          <w:rFonts w:ascii="Arial" w:hAnsi="Arial" w:cs="Arial"/>
          <w:sz w:val="22"/>
          <w:szCs w:val="22"/>
        </w:rPr>
        <w:t xml:space="preserve"> of dissolved ions, such as salts or metals. </w:t>
      </w:r>
      <w:r>
        <w:rPr>
          <w:rFonts w:ascii="Arial" w:hAnsi="Arial" w:cs="Arial"/>
          <w:sz w:val="22"/>
          <w:szCs w:val="22"/>
        </w:rPr>
        <w:t xml:space="preserve">There is some evidence that </w:t>
      </w:r>
      <w:r w:rsidRPr="00360C61">
        <w:rPr>
          <w:rFonts w:ascii="Arial" w:hAnsi="Arial" w:cs="Arial"/>
          <w:sz w:val="22"/>
          <w:szCs w:val="22"/>
        </w:rPr>
        <w:t xml:space="preserve">average conductivity measured at a site </w:t>
      </w:r>
      <w:r>
        <w:rPr>
          <w:rFonts w:ascii="Arial" w:hAnsi="Arial" w:cs="Arial"/>
          <w:sz w:val="22"/>
          <w:szCs w:val="22"/>
        </w:rPr>
        <w:t xml:space="preserve">over </w:t>
      </w:r>
      <w:r w:rsidRPr="00360C61">
        <w:rPr>
          <w:rFonts w:ascii="Arial" w:hAnsi="Arial" w:cs="Arial"/>
          <w:sz w:val="22"/>
          <w:szCs w:val="22"/>
        </w:rPr>
        <w:t>800 micro</w:t>
      </w:r>
      <w:r>
        <w:rPr>
          <w:rFonts w:ascii="Arial" w:hAnsi="Arial" w:cs="Arial"/>
          <w:sz w:val="22"/>
          <w:szCs w:val="22"/>
        </w:rPr>
        <w:t>s</w:t>
      </w:r>
      <w:r w:rsidRPr="00360C61">
        <w:rPr>
          <w:rFonts w:ascii="Arial" w:hAnsi="Arial" w:cs="Arial"/>
          <w:sz w:val="22"/>
          <w:szCs w:val="22"/>
        </w:rPr>
        <w:t>iemens (</w:t>
      </w:r>
      <w:r w:rsidRPr="00C40AE3">
        <w:rPr>
          <w:rFonts w:ascii="Arial" w:hAnsi="Arial" w:cs="Arial"/>
          <w:sz w:val="22"/>
          <w:szCs w:val="22"/>
        </w:rPr>
        <w:t>µ</w:t>
      </w:r>
      <w:r w:rsidRPr="00360C61">
        <w:rPr>
          <w:rFonts w:ascii="Arial" w:hAnsi="Arial" w:cs="Arial"/>
          <w:sz w:val="22"/>
          <w:szCs w:val="22"/>
        </w:rPr>
        <w:t xml:space="preserve">S) </w:t>
      </w:r>
      <w:r>
        <w:rPr>
          <w:rFonts w:ascii="Arial" w:hAnsi="Arial" w:cs="Arial"/>
          <w:sz w:val="22"/>
          <w:szCs w:val="22"/>
        </w:rPr>
        <w:t>can be correlated with lower stream biodiversity</w:t>
      </w:r>
      <w:r w:rsidRPr="00360C61">
        <w:rPr>
          <w:rFonts w:ascii="Arial" w:hAnsi="Arial" w:cs="Arial"/>
          <w:sz w:val="22"/>
          <w:szCs w:val="22"/>
        </w:rPr>
        <w:t>.</w:t>
      </w:r>
      <w:r w:rsidRPr="00360C61">
        <w:rPr>
          <w:rFonts w:ascii="Arial" w:hAnsi="Arial" w:cs="Arial"/>
          <w:sz w:val="22"/>
          <w:szCs w:val="22"/>
          <w:vertAlign w:val="superscript"/>
        </w:rPr>
        <w:endnoteReference w:id="14"/>
      </w:r>
      <w:r w:rsidRPr="00360C61">
        <w:rPr>
          <w:rFonts w:ascii="Arial" w:hAnsi="Arial" w:cs="Arial"/>
          <w:sz w:val="22"/>
          <w:szCs w:val="22"/>
        </w:rPr>
        <w:t xml:space="preserve"> Conductivity over 800 </w:t>
      </w:r>
      <w:r w:rsidRPr="00C40AE3">
        <w:rPr>
          <w:rFonts w:ascii="Arial" w:hAnsi="Arial" w:cs="Arial"/>
          <w:sz w:val="22"/>
          <w:szCs w:val="22"/>
        </w:rPr>
        <w:t>µ</w:t>
      </w:r>
      <w:r w:rsidRPr="00360C61">
        <w:rPr>
          <w:rFonts w:ascii="Arial" w:hAnsi="Arial" w:cs="Arial"/>
          <w:sz w:val="22"/>
          <w:szCs w:val="22"/>
        </w:rPr>
        <w:t>S may indicate the presence of toxic substances</w:t>
      </w:r>
      <w:r>
        <w:rPr>
          <w:rFonts w:ascii="Arial" w:hAnsi="Arial" w:cs="Arial"/>
          <w:sz w:val="22"/>
          <w:szCs w:val="22"/>
        </w:rPr>
        <w:t>, but it can also be high due to naturally occurring ions.  M</w:t>
      </w:r>
      <w:r w:rsidRPr="00360C61">
        <w:rPr>
          <w:rFonts w:ascii="Arial" w:hAnsi="Arial" w:cs="Arial"/>
          <w:sz w:val="22"/>
          <w:szCs w:val="22"/>
        </w:rPr>
        <w:t xml:space="preserve">any toxins are </w:t>
      </w:r>
      <w:r>
        <w:rPr>
          <w:rFonts w:ascii="Arial" w:hAnsi="Arial" w:cs="Arial"/>
          <w:sz w:val="22"/>
          <w:szCs w:val="22"/>
        </w:rPr>
        <w:t xml:space="preserve">also </w:t>
      </w:r>
      <w:r w:rsidRPr="00360C61">
        <w:rPr>
          <w:rFonts w:ascii="Arial" w:hAnsi="Arial" w:cs="Arial"/>
          <w:sz w:val="22"/>
          <w:szCs w:val="22"/>
        </w:rPr>
        <w:t xml:space="preserve">not </w:t>
      </w:r>
      <w:r>
        <w:rPr>
          <w:rFonts w:ascii="Arial" w:hAnsi="Arial" w:cs="Arial"/>
          <w:sz w:val="22"/>
          <w:szCs w:val="22"/>
        </w:rPr>
        <w:t xml:space="preserve">detected </w:t>
      </w:r>
      <w:r w:rsidRPr="00360C61">
        <w:rPr>
          <w:rFonts w:ascii="Arial" w:hAnsi="Arial" w:cs="Arial"/>
          <w:sz w:val="22"/>
          <w:szCs w:val="22"/>
        </w:rPr>
        <w:t>by conductivity</w:t>
      </w:r>
      <w:r>
        <w:rPr>
          <w:rFonts w:ascii="Arial" w:hAnsi="Arial" w:cs="Arial"/>
          <w:sz w:val="22"/>
          <w:szCs w:val="22"/>
        </w:rPr>
        <w:t xml:space="preserve"> measures</w:t>
      </w:r>
      <w:r w:rsidRPr="00360C61">
        <w:rPr>
          <w:rFonts w:ascii="Arial" w:hAnsi="Arial" w:cs="Arial"/>
          <w:sz w:val="22"/>
          <w:szCs w:val="22"/>
        </w:rPr>
        <w:t xml:space="preserve">. A high conductivity measurement signals a need for further investigation </w:t>
      </w:r>
      <w:r>
        <w:rPr>
          <w:rFonts w:ascii="Arial" w:hAnsi="Arial" w:cs="Arial"/>
          <w:sz w:val="22"/>
          <w:szCs w:val="22"/>
        </w:rPr>
        <w:t>to better determine the cause and potential sources</w:t>
      </w:r>
      <w:r w:rsidRPr="00360C61">
        <w:rPr>
          <w:rFonts w:ascii="Arial" w:hAnsi="Arial" w:cs="Arial"/>
          <w:sz w:val="22"/>
          <w:szCs w:val="22"/>
        </w:rPr>
        <w:t xml:space="preserve">. </w:t>
      </w:r>
    </w:p>
    <w:p w14:paraId="66BE63A4" w14:textId="53931CA5" w:rsidR="008B4D33" w:rsidRDefault="008B4D33" w:rsidP="006E5D33">
      <w:pPr>
        <w:spacing w:before="120"/>
        <w:rPr>
          <w:rFonts w:ascii="Arial" w:hAnsi="Arial" w:cs="Arial"/>
          <w:sz w:val="22"/>
          <w:szCs w:val="22"/>
        </w:rPr>
      </w:pPr>
      <w:r w:rsidRPr="008148F9">
        <w:rPr>
          <w:rFonts w:ascii="Arial" w:hAnsi="Arial" w:cs="Arial"/>
          <w:sz w:val="22"/>
          <w:szCs w:val="22"/>
        </w:rPr>
        <w:t xml:space="preserve">Since 2002, conductivity has been recorded at sites in the Watershed through the Chemistry and Flow Monitoring Program.  Monitoring data is collected twice monthly </w:t>
      </w:r>
      <w:r w:rsidRPr="008148F9">
        <w:rPr>
          <w:rFonts w:ascii="Arial" w:hAnsi="Arial" w:cs="Arial"/>
          <w:sz w:val="22"/>
          <w:szCs w:val="22"/>
        </w:rPr>
        <w:lastRenderedPageBreak/>
        <w:t>from April through September.  In addition, conductivity</w:t>
      </w:r>
      <w:r>
        <w:rPr>
          <w:rFonts w:ascii="Arial" w:hAnsi="Arial" w:cs="Arial"/>
          <w:sz w:val="22"/>
          <w:szCs w:val="22"/>
        </w:rPr>
        <w:t xml:space="preserve"> is monitored by HRWC’s River Roundup program when the volunteer teams sample macroinvertebrates.  </w:t>
      </w:r>
    </w:p>
    <w:p w14:paraId="31018922" w14:textId="77777777" w:rsidR="008B4D33" w:rsidRPr="00153505" w:rsidRDefault="008B4D33" w:rsidP="006E5D33">
      <w:pPr>
        <w:spacing w:before="120"/>
        <w:rPr>
          <w:rFonts w:ascii="Arial" w:hAnsi="Arial" w:cs="Arial"/>
          <w:sz w:val="22"/>
          <w:szCs w:val="22"/>
        </w:rPr>
      </w:pPr>
      <w:r w:rsidRPr="00153505">
        <w:rPr>
          <w:rFonts w:ascii="Arial" w:hAnsi="Arial" w:cs="Arial"/>
          <w:sz w:val="22"/>
          <w:szCs w:val="22"/>
        </w:rPr>
        <w:t xml:space="preserve">Conductivity is also highly correlated with Total Dissolved Solids (TDS), which include anything dissolved in water including minerals, salts, metal, cations, </w:t>
      </w:r>
      <w:proofErr w:type="gramStart"/>
      <w:r w:rsidRPr="00153505">
        <w:rPr>
          <w:rFonts w:ascii="Arial" w:hAnsi="Arial" w:cs="Arial"/>
          <w:sz w:val="22"/>
          <w:szCs w:val="22"/>
        </w:rPr>
        <w:t>anions</w:t>
      </w:r>
      <w:proofErr w:type="gramEnd"/>
      <w:r w:rsidRPr="00153505">
        <w:rPr>
          <w:rFonts w:ascii="Arial" w:hAnsi="Arial" w:cs="Arial"/>
          <w:sz w:val="22"/>
          <w:szCs w:val="22"/>
        </w:rPr>
        <w:t xml:space="preserve"> and organic molecules. Though a more accurate measurement for expressing the chemical constituents of water, TDS is a more expensive and complicated measurement to make, and thus Conductivity is often used in lieu of TDS.</w:t>
      </w:r>
    </w:p>
    <w:p w14:paraId="22F6AF2D" w14:textId="77777777" w:rsidR="008B4D33" w:rsidRPr="00153505" w:rsidRDefault="008B4D33" w:rsidP="006E5D33">
      <w:pPr>
        <w:spacing w:before="120" w:after="120"/>
        <w:rPr>
          <w:rFonts w:ascii="Arial" w:hAnsi="Arial" w:cs="Arial"/>
          <w:b/>
          <w:sz w:val="22"/>
          <w:szCs w:val="22"/>
        </w:rPr>
      </w:pPr>
    </w:p>
    <w:p w14:paraId="6CAB124F" w14:textId="77777777" w:rsidR="008B4D33" w:rsidRPr="008A3762" w:rsidRDefault="008B4D33" w:rsidP="00A0673D">
      <w:pPr>
        <w:pStyle w:val="WMP-header4"/>
        <w:outlineLvl w:val="3"/>
        <w:rPr>
          <w:u w:val="single"/>
        </w:rPr>
      </w:pPr>
      <w:bookmarkStart w:id="23" w:name="_Toc111629328"/>
      <w:r w:rsidRPr="001F5ED3">
        <w:rPr>
          <w:bCs/>
        </w:rPr>
        <w:t>2.3.1.</w:t>
      </w:r>
      <w:r>
        <w:rPr>
          <w:bCs/>
        </w:rPr>
        <w:t>5</w:t>
      </w:r>
      <w:r w:rsidRPr="001F5ED3">
        <w:rPr>
          <w:bCs/>
        </w:rPr>
        <w:t xml:space="preserve"> </w:t>
      </w:r>
      <w:r w:rsidRPr="00D32660">
        <w:t>Organic Compounds and Heavy Metals</w:t>
      </w:r>
      <w:bookmarkEnd w:id="23"/>
    </w:p>
    <w:p w14:paraId="79EA4D0B" w14:textId="77777777" w:rsidR="008B4D33" w:rsidRPr="00C40AE3" w:rsidRDefault="008B4D33" w:rsidP="006E5D33">
      <w:pPr>
        <w:rPr>
          <w:rFonts w:ascii="Arial" w:hAnsi="Arial" w:cs="Arial"/>
        </w:rPr>
      </w:pPr>
      <w:r w:rsidRPr="00153505">
        <w:rPr>
          <w:rFonts w:ascii="Arial" w:eastAsia="Arial" w:hAnsi="Arial" w:cs="Arial"/>
          <w:sz w:val="22"/>
          <w:szCs w:val="22"/>
        </w:rPr>
        <w:t>Organic compounds (PCBs, PFAS, PAHs, DDT, etc.) and heavy metals (lead, copper, mercury, zinc, chromium, cadmium, etc.) can potentially cause adverse impacts on river ecosystems. These chemicals and metals can disrupt the physiology of aquatic organisms and can accumulate in their fatty tissues. Organic chemicals such as PCBs are by-products of manufacturing processes and the combustion of fossil fuels. They are also present in automobile fluids such as gasoline and oils. Other organic chemicals are found in pesticides and herbicides. Heavy metals are also a common by-product of manufacturing, but these contaminants are also common in agricultural and road runoff.</w:t>
      </w:r>
    </w:p>
    <w:p w14:paraId="2C9A9203" w14:textId="77777777" w:rsidR="008B4D33" w:rsidRPr="00C40AE3" w:rsidRDefault="008B4D33" w:rsidP="006E5D33">
      <w:pPr>
        <w:rPr>
          <w:rFonts w:ascii="Arial" w:hAnsi="Arial" w:cs="Arial"/>
        </w:rPr>
      </w:pPr>
      <w:r w:rsidRPr="00153505">
        <w:rPr>
          <w:rFonts w:ascii="Arial" w:eastAsia="Arial" w:hAnsi="Arial" w:cs="Arial"/>
          <w:sz w:val="22"/>
          <w:szCs w:val="22"/>
        </w:rPr>
        <w:t xml:space="preserve"> </w:t>
      </w:r>
    </w:p>
    <w:p w14:paraId="40E05009" w14:textId="77777777" w:rsidR="008B4D33" w:rsidRPr="00153505" w:rsidRDefault="008B4D33" w:rsidP="006E5D33">
      <w:pPr>
        <w:rPr>
          <w:rFonts w:ascii="Arial" w:eastAsia="Arial" w:hAnsi="Arial" w:cs="Arial"/>
          <w:sz w:val="22"/>
          <w:szCs w:val="22"/>
        </w:rPr>
      </w:pPr>
      <w:r w:rsidRPr="00153505">
        <w:rPr>
          <w:rFonts w:ascii="Arial" w:eastAsia="Arial" w:hAnsi="Arial" w:cs="Arial"/>
          <w:sz w:val="22"/>
          <w:szCs w:val="22"/>
        </w:rPr>
        <w:t xml:space="preserve">In the Watershed, potential sources of organic compounds and heavy metals include urban areas, roads, permitted industries, existing in-stream contamination from historic activities, chemicals from lawns, and runoff from agricultural operations.  </w:t>
      </w:r>
    </w:p>
    <w:p w14:paraId="786B4607" w14:textId="77777777" w:rsidR="008B4D33" w:rsidRPr="00153505" w:rsidRDefault="008B4D33" w:rsidP="006E5D33">
      <w:pPr>
        <w:rPr>
          <w:rFonts w:ascii="Arial" w:eastAsia="Arial" w:hAnsi="Arial" w:cs="Arial"/>
          <w:sz w:val="22"/>
          <w:szCs w:val="22"/>
        </w:rPr>
      </w:pPr>
    </w:p>
    <w:p w14:paraId="466A75CD" w14:textId="77777777" w:rsidR="008B4D33" w:rsidRPr="00153505" w:rsidRDefault="008B4D33" w:rsidP="006E5D33">
      <w:pPr>
        <w:rPr>
          <w:rFonts w:ascii="Arial" w:eastAsia="Arial" w:hAnsi="Arial" w:cs="Arial"/>
          <w:sz w:val="22"/>
          <w:szCs w:val="22"/>
        </w:rPr>
      </w:pPr>
      <w:r w:rsidRPr="00153505">
        <w:rPr>
          <w:rFonts w:ascii="Arial" w:eastAsia="Arial" w:hAnsi="Arial" w:cs="Arial"/>
          <w:sz w:val="22"/>
          <w:szCs w:val="22"/>
        </w:rPr>
        <w:t>Coal tar sealcoats are incredibly high in polycyclic aromatic hydrocarbons (PAHs). PAHs are of concern because many of these compounds have been identified as toxic, mutagenic, teratogenic (causing birth defects) and/or probable human carcinogens. Coal tar sealants contain 1000 times more PAHs than asphalt-based sealants (a readily available alternative) and are the number one source of PAHs in lake sediments.</w:t>
      </w:r>
      <w:r w:rsidRPr="00153505">
        <w:rPr>
          <w:rStyle w:val="EndnoteReference"/>
          <w:rFonts w:ascii="Arial" w:eastAsia="Arial" w:hAnsi="Arial" w:cs="Arial"/>
          <w:sz w:val="22"/>
          <w:szCs w:val="22"/>
        </w:rPr>
        <w:endnoteReference w:id="15"/>
      </w:r>
      <w:r w:rsidRPr="00153505">
        <w:rPr>
          <w:rFonts w:ascii="Arial" w:eastAsia="Arial" w:hAnsi="Arial" w:cs="Arial"/>
          <w:sz w:val="22"/>
          <w:szCs w:val="22"/>
        </w:rPr>
        <w:t xml:space="preserve">  PAHs from coal tar sealcoat are released into the environment in several ways. When applied, these compounds volatilize into the air, affecting air quality. As the sealcoat weathers, dust from the pavement makes its way into homes on shoes and clothing. When it rains, loose particles move into </w:t>
      </w:r>
      <w:proofErr w:type="gramStart"/>
      <w:r w:rsidRPr="00153505">
        <w:rPr>
          <w:rFonts w:ascii="Arial" w:eastAsia="Arial" w:hAnsi="Arial" w:cs="Arial"/>
          <w:sz w:val="22"/>
          <w:szCs w:val="22"/>
        </w:rPr>
        <w:t>soils</w:t>
      </w:r>
      <w:proofErr w:type="gramEnd"/>
      <w:r w:rsidRPr="00153505">
        <w:rPr>
          <w:rFonts w:ascii="Arial" w:eastAsia="Arial" w:hAnsi="Arial" w:cs="Arial"/>
          <w:sz w:val="22"/>
          <w:szCs w:val="22"/>
        </w:rPr>
        <w:t>, stormwater catch basins, lakes, and rivers.</w:t>
      </w:r>
    </w:p>
    <w:p w14:paraId="7D360BAA" w14:textId="77777777" w:rsidR="008B4D33" w:rsidRPr="00153505" w:rsidRDefault="008B4D33" w:rsidP="006E5D33">
      <w:pPr>
        <w:rPr>
          <w:rFonts w:ascii="Arial" w:eastAsia="Arial" w:hAnsi="Arial" w:cs="Arial"/>
          <w:sz w:val="22"/>
          <w:szCs w:val="22"/>
        </w:rPr>
      </w:pPr>
    </w:p>
    <w:p w14:paraId="1D6A82EE" w14:textId="39778B74" w:rsidR="008B4D33" w:rsidRPr="00153505" w:rsidRDefault="008B4D33" w:rsidP="006E5D33">
      <w:pPr>
        <w:rPr>
          <w:rFonts w:ascii="Arial" w:eastAsia="Arial" w:hAnsi="Arial" w:cs="Arial"/>
          <w:sz w:val="22"/>
          <w:szCs w:val="22"/>
        </w:rPr>
      </w:pPr>
      <w:r w:rsidRPr="00153505">
        <w:rPr>
          <w:rFonts w:ascii="Arial" w:eastAsia="Arial" w:hAnsi="Arial" w:cs="Arial"/>
          <w:sz w:val="22"/>
          <w:szCs w:val="22"/>
        </w:rPr>
        <w:t xml:space="preserve">HRWC has done significant work on PAHs in the last decade. HRWC conducted PAH sampling in several detention ponds in Fleming, Mallets, and Traver </w:t>
      </w:r>
      <w:proofErr w:type="spellStart"/>
      <w:r w:rsidRPr="002848CC">
        <w:rPr>
          <w:rFonts w:ascii="Arial" w:eastAsia="Arial" w:hAnsi="Arial" w:cs="Arial"/>
          <w:sz w:val="22"/>
          <w:szCs w:val="22"/>
        </w:rPr>
        <w:t>Creeksheds</w:t>
      </w:r>
      <w:proofErr w:type="spellEnd"/>
      <w:r>
        <w:rPr>
          <w:rFonts w:ascii="Arial" w:eastAsia="Arial" w:hAnsi="Arial" w:cs="Arial"/>
          <w:sz w:val="22"/>
          <w:szCs w:val="22"/>
        </w:rPr>
        <w:t xml:space="preserve"> (results shown in the Middle Huron River Section 2 Watershed Management Plan</w:t>
      </w:r>
      <w:r>
        <w:rPr>
          <w:rStyle w:val="EndnoteReference"/>
          <w:rFonts w:ascii="Arial" w:eastAsia="Arial" w:hAnsi="Arial" w:cs="Arial"/>
          <w:sz w:val="22"/>
          <w:szCs w:val="22"/>
        </w:rPr>
        <w:endnoteReference w:id="16"/>
      </w:r>
      <w:r>
        <w:rPr>
          <w:rFonts w:ascii="Arial" w:eastAsia="Arial" w:hAnsi="Arial" w:cs="Arial"/>
          <w:sz w:val="22"/>
          <w:szCs w:val="22"/>
        </w:rPr>
        <w:t>)</w:t>
      </w:r>
      <w:r w:rsidRPr="002848CC">
        <w:rPr>
          <w:rFonts w:ascii="Arial" w:eastAsia="Arial" w:hAnsi="Arial" w:cs="Arial"/>
          <w:sz w:val="22"/>
          <w:szCs w:val="22"/>
        </w:rPr>
        <w:t xml:space="preserve">.  </w:t>
      </w:r>
      <w:r w:rsidRPr="00153505">
        <w:rPr>
          <w:rFonts w:ascii="Arial" w:eastAsia="Arial" w:hAnsi="Arial" w:cs="Arial"/>
          <w:sz w:val="22"/>
          <w:szCs w:val="22"/>
        </w:rPr>
        <w:t xml:space="preserve">Results show that the </w:t>
      </w:r>
      <w:r>
        <w:rPr>
          <w:rFonts w:ascii="Arial" w:eastAsia="Arial" w:hAnsi="Arial" w:cs="Arial"/>
          <w:sz w:val="22"/>
          <w:szCs w:val="22"/>
        </w:rPr>
        <w:t>area</w:t>
      </w:r>
      <w:r w:rsidRPr="00153505">
        <w:rPr>
          <w:rFonts w:ascii="Arial" w:eastAsia="Arial" w:hAnsi="Arial" w:cs="Arial"/>
          <w:sz w:val="22"/>
          <w:szCs w:val="22"/>
        </w:rPr>
        <w:t xml:space="preserve"> has elevated PAH levels; and since studies indicate that 50-75% of PAHs found in sediments in the Great Lakes Region come from coal tar sealants</w:t>
      </w:r>
      <w:r>
        <w:rPr>
          <w:rFonts w:ascii="Arial" w:eastAsia="Arial" w:hAnsi="Arial" w:cs="Arial"/>
          <w:sz w:val="22"/>
          <w:szCs w:val="22"/>
        </w:rPr>
        <w:t>,</w:t>
      </w:r>
      <w:r w:rsidRPr="00153505">
        <w:rPr>
          <w:rStyle w:val="EndnoteReference"/>
          <w:rFonts w:ascii="Arial" w:eastAsia="Arial" w:hAnsi="Arial" w:cs="Arial"/>
          <w:sz w:val="22"/>
          <w:szCs w:val="22"/>
        </w:rPr>
        <w:endnoteReference w:id="17"/>
      </w:r>
      <w:r w:rsidRPr="00153505">
        <w:rPr>
          <w:rFonts w:ascii="Arial" w:eastAsia="Arial" w:hAnsi="Arial" w:cs="Arial"/>
          <w:sz w:val="22"/>
          <w:szCs w:val="22"/>
        </w:rPr>
        <w:t xml:space="preserve"> HRWC has worked with </w:t>
      </w:r>
      <w:r w:rsidRPr="227606A7">
        <w:rPr>
          <w:rFonts w:ascii="Arial" w:eastAsia="Arial" w:hAnsi="Arial" w:cs="Arial"/>
          <w:sz w:val="22"/>
          <w:szCs w:val="22"/>
        </w:rPr>
        <w:t>municipalities</w:t>
      </w:r>
      <w:r w:rsidRPr="00153505">
        <w:rPr>
          <w:rFonts w:ascii="Arial" w:eastAsia="Arial" w:hAnsi="Arial" w:cs="Arial"/>
          <w:sz w:val="22"/>
          <w:szCs w:val="22"/>
        </w:rPr>
        <w:t xml:space="preserve"> to pass ordinances restricting use.  Within the Watershed, </w:t>
      </w:r>
      <w:r>
        <w:rPr>
          <w:rFonts w:ascii="Arial" w:eastAsia="Arial" w:hAnsi="Arial" w:cs="Arial"/>
          <w:sz w:val="22"/>
          <w:szCs w:val="22"/>
        </w:rPr>
        <w:t xml:space="preserve">the City of Ypsilanti and Van Buren Township </w:t>
      </w:r>
      <w:r w:rsidRPr="00153505">
        <w:rPr>
          <w:rFonts w:ascii="Arial" w:eastAsia="Arial" w:hAnsi="Arial" w:cs="Arial"/>
          <w:sz w:val="22"/>
          <w:szCs w:val="22"/>
        </w:rPr>
        <w:t xml:space="preserve">have adopted ordinances that make it illegal to sell or apply high PAH pavement sealers. </w:t>
      </w:r>
    </w:p>
    <w:p w14:paraId="1A2D95D7" w14:textId="77777777" w:rsidR="008B4D33" w:rsidRPr="00153505" w:rsidRDefault="008B4D33" w:rsidP="006E5D33">
      <w:pPr>
        <w:rPr>
          <w:rFonts w:ascii="Arial" w:eastAsia="Arial" w:hAnsi="Arial" w:cs="Arial"/>
          <w:sz w:val="22"/>
          <w:szCs w:val="22"/>
        </w:rPr>
      </w:pPr>
    </w:p>
    <w:p w14:paraId="61DA277B" w14:textId="426EE98B" w:rsidR="008B4D33" w:rsidRPr="00241396" w:rsidRDefault="008B4D33" w:rsidP="006E5D33">
      <w:pPr>
        <w:rPr>
          <w:rFonts w:ascii="Arial" w:hAnsi="Arial" w:cs="Arial"/>
          <w:bCs/>
          <w:sz w:val="22"/>
          <w:szCs w:val="22"/>
          <w:shd w:val="clear" w:color="auto" w:fill="FFFFFF"/>
        </w:rPr>
      </w:pPr>
      <w:r>
        <w:rPr>
          <w:rFonts w:ascii="Arial" w:eastAsia="Arial" w:hAnsi="Arial" w:cs="Arial"/>
          <w:sz w:val="22"/>
          <w:szCs w:val="22"/>
        </w:rPr>
        <w:t xml:space="preserve">Polyfluoroalkyl substances (PFAS/PFOS) are a family of manmade organic molecules that were revealed to be a problem in the Huron River Watershed in August 2018, after EGLE reported high levels in the tissues of fish from Kent Lake.  In 2018, </w:t>
      </w:r>
      <w:r w:rsidRPr="00566A67">
        <w:rPr>
          <w:rFonts w:ascii="Arial" w:eastAsia="Arial" w:hAnsi="Arial" w:cs="Arial"/>
          <w:sz w:val="22"/>
          <w:szCs w:val="22"/>
        </w:rPr>
        <w:t>t</w:t>
      </w:r>
      <w:r w:rsidRPr="00153505">
        <w:rPr>
          <w:rFonts w:ascii="Arial" w:hAnsi="Arial" w:cs="Arial"/>
          <w:sz w:val="22"/>
          <w:szCs w:val="22"/>
          <w:shd w:val="clear" w:color="auto" w:fill="FFFFFF"/>
        </w:rPr>
        <w:t>he Michigan Department of Health and Human Services has issued a “Do Not Eat Fish” advisory for most of the Huron River from the crossing at North Wixom Road in Milford all the way to Lake Erie. This includes the Huron River section contained in the Watershed of this Management Plan</w:t>
      </w:r>
      <w:r>
        <w:rPr>
          <w:rFonts w:ascii="Arial" w:hAnsi="Arial" w:cs="Arial"/>
          <w:sz w:val="22"/>
          <w:szCs w:val="22"/>
          <w:shd w:val="clear" w:color="auto" w:fill="FFFFFF"/>
        </w:rPr>
        <w:t>. The Huron is now listed for failure to meet the Fish Consumption designated use in the 2022 EGLE Integrated Report</w:t>
      </w:r>
      <w:r>
        <w:rPr>
          <w:rStyle w:val="EndnoteReference"/>
          <w:rFonts w:ascii="Arial" w:hAnsi="Arial" w:cs="Arial"/>
          <w:sz w:val="22"/>
          <w:szCs w:val="22"/>
          <w:shd w:val="clear" w:color="auto" w:fill="FFFFFF"/>
        </w:rPr>
        <w:endnoteReference w:id="18"/>
      </w:r>
      <w:r>
        <w:rPr>
          <w:rFonts w:ascii="Arial" w:hAnsi="Arial" w:cs="Arial"/>
          <w:sz w:val="22"/>
          <w:szCs w:val="22"/>
          <w:shd w:val="clear" w:color="auto" w:fill="FFFFFF"/>
        </w:rPr>
        <w:t xml:space="preserve">. This is a critical area that needs </w:t>
      </w:r>
      <w:r>
        <w:rPr>
          <w:rFonts w:ascii="Arial" w:hAnsi="Arial" w:cs="Arial"/>
          <w:sz w:val="22"/>
          <w:szCs w:val="22"/>
          <w:shd w:val="clear" w:color="auto" w:fill="FFFFFF"/>
        </w:rPr>
        <w:lastRenderedPageBreak/>
        <w:t xml:space="preserve">further addressing. See more details in section </w:t>
      </w:r>
      <w:r w:rsidRPr="007001E9">
        <w:rPr>
          <w:rFonts w:ascii="Arial" w:hAnsi="Arial" w:cs="Arial"/>
          <w:bCs/>
          <w:sz w:val="22"/>
          <w:szCs w:val="22"/>
        </w:rPr>
        <w:t>2.5.2.4</w:t>
      </w:r>
      <w:r>
        <w:rPr>
          <w:rFonts w:ascii="Arial" w:hAnsi="Arial" w:cs="Arial"/>
          <w:bCs/>
          <w:sz w:val="22"/>
          <w:szCs w:val="22"/>
        </w:rPr>
        <w:t>-</w:t>
      </w:r>
      <w:r w:rsidRPr="00241396">
        <w:rPr>
          <w:rFonts w:ascii="Arial" w:hAnsi="Arial" w:cs="Arial"/>
          <w:b/>
          <w:sz w:val="22"/>
          <w:szCs w:val="22"/>
        </w:rPr>
        <w:t xml:space="preserve"> </w:t>
      </w:r>
      <w:r w:rsidRPr="00241396">
        <w:rPr>
          <w:rFonts w:ascii="Arial" w:hAnsi="Arial" w:cs="Arial"/>
          <w:bCs/>
          <w:sz w:val="22"/>
          <w:szCs w:val="22"/>
        </w:rPr>
        <w:t xml:space="preserve">Fish Consumption Advisory on the Huron River: </w:t>
      </w:r>
      <w:proofErr w:type="spellStart"/>
      <w:r w:rsidRPr="00241396">
        <w:rPr>
          <w:rFonts w:ascii="Arial" w:hAnsi="Arial" w:cs="Arial"/>
          <w:bCs/>
          <w:color w:val="000000"/>
          <w:sz w:val="22"/>
          <w:szCs w:val="22"/>
        </w:rPr>
        <w:t>Perflurooctane</w:t>
      </w:r>
      <w:proofErr w:type="spellEnd"/>
      <w:r w:rsidRPr="00241396">
        <w:rPr>
          <w:rFonts w:ascii="Arial" w:hAnsi="Arial" w:cs="Arial"/>
          <w:bCs/>
          <w:color w:val="000000"/>
          <w:sz w:val="22"/>
          <w:szCs w:val="22"/>
        </w:rPr>
        <w:t xml:space="preserve"> Sulfonate (PFOS) Impairment</w:t>
      </w:r>
      <w:r>
        <w:rPr>
          <w:rFonts w:ascii="Arial" w:hAnsi="Arial" w:cs="Arial"/>
          <w:bCs/>
          <w:color w:val="000000"/>
          <w:sz w:val="22"/>
          <w:szCs w:val="22"/>
        </w:rPr>
        <w:t>.</w:t>
      </w:r>
    </w:p>
    <w:p w14:paraId="09297360" w14:textId="77777777" w:rsidR="008B4D33" w:rsidRDefault="008B4D33" w:rsidP="006E5D33">
      <w:pPr>
        <w:rPr>
          <w:rFonts w:ascii="Arial" w:hAnsi="Arial" w:cs="Arial"/>
          <w:sz w:val="22"/>
          <w:szCs w:val="22"/>
          <w:shd w:val="clear" w:color="auto" w:fill="FFFFFF"/>
        </w:rPr>
      </w:pPr>
    </w:p>
    <w:p w14:paraId="163BED9D" w14:textId="77777777" w:rsidR="008B4D33" w:rsidRDefault="008B4D33" w:rsidP="006E5D33">
      <w:pPr>
        <w:rPr>
          <w:rFonts w:ascii="Arial" w:hAnsi="Arial" w:cs="Arial"/>
          <w:sz w:val="22"/>
          <w:szCs w:val="22"/>
        </w:rPr>
      </w:pPr>
      <w:r w:rsidRPr="006C27CD">
        <w:rPr>
          <w:rFonts w:ascii="Arial" w:hAnsi="Arial" w:cs="Arial"/>
          <w:sz w:val="22"/>
          <w:szCs w:val="22"/>
        </w:rPr>
        <w:t xml:space="preserve">A number of international, </w:t>
      </w:r>
      <w:proofErr w:type="gramStart"/>
      <w:r w:rsidRPr="006C27CD">
        <w:rPr>
          <w:rFonts w:ascii="Arial" w:hAnsi="Arial" w:cs="Arial"/>
          <w:sz w:val="22"/>
          <w:szCs w:val="22"/>
        </w:rPr>
        <w:t>national</w:t>
      </w:r>
      <w:proofErr w:type="gramEnd"/>
      <w:r w:rsidRPr="006C27CD">
        <w:rPr>
          <w:rFonts w:ascii="Arial" w:hAnsi="Arial" w:cs="Arial"/>
          <w:sz w:val="22"/>
          <w:szCs w:val="22"/>
        </w:rPr>
        <w:t xml:space="preserve"> and regional studies over the past two decades have documented the presence of pharmaceuticals and personal care products (PPCPs) and endocrine disrupting compounds (EDCs) in surface waters.  PPCPs include substances such as drugs and cosmetics.  EDCs are any chemicals that have been shown to interfere with the normal function of the human endocrine system.  Both types of compounds have potential human health and wildlife impacts.  Researchers are currently working to evaluate the effects of environmental exposure to PPCPs and EDCs.  </w:t>
      </w:r>
    </w:p>
    <w:p w14:paraId="14175B4E" w14:textId="77777777" w:rsidR="008B4D33" w:rsidRDefault="008B4D33" w:rsidP="006E5D33">
      <w:pPr>
        <w:rPr>
          <w:rFonts w:ascii="Arial" w:hAnsi="Arial" w:cs="Arial"/>
          <w:sz w:val="22"/>
          <w:szCs w:val="22"/>
        </w:rPr>
      </w:pPr>
    </w:p>
    <w:p w14:paraId="5F168CCF" w14:textId="77777777" w:rsidR="008B4D33" w:rsidRDefault="008B4D33" w:rsidP="006E5D33">
      <w:pPr>
        <w:rPr>
          <w:rFonts w:ascii="Arial" w:hAnsi="Arial" w:cs="Arial"/>
          <w:sz w:val="22"/>
          <w:szCs w:val="22"/>
        </w:rPr>
      </w:pPr>
      <w:r w:rsidRPr="006C27CD">
        <w:rPr>
          <w:rFonts w:ascii="Arial" w:hAnsi="Arial" w:cs="Arial"/>
          <w:sz w:val="22"/>
          <w:szCs w:val="22"/>
        </w:rPr>
        <w:t xml:space="preserve">These substances can enter the environment through a number of routes </w:t>
      </w:r>
      <w:proofErr w:type="gramStart"/>
      <w:r w:rsidRPr="006C27CD">
        <w:rPr>
          <w:rFonts w:ascii="Arial" w:hAnsi="Arial" w:cs="Arial"/>
          <w:sz w:val="22"/>
          <w:szCs w:val="22"/>
        </w:rPr>
        <w:t>including:</w:t>
      </w:r>
      <w:proofErr w:type="gramEnd"/>
      <w:r w:rsidRPr="006C27CD">
        <w:rPr>
          <w:rFonts w:ascii="Arial" w:hAnsi="Arial" w:cs="Arial"/>
          <w:sz w:val="22"/>
          <w:szCs w:val="22"/>
        </w:rPr>
        <w:t xml:space="preserve"> wastewater treatment discharge, industrial discharge, runoff from confined animal feeding operations, and land application of animal waste.  The U.S. Geological Survey conducted a national study of 139 streams in 30 states and found that 80% of those streams contained at least one of the 95 compounds they targeted.</w:t>
      </w:r>
      <w:r>
        <w:rPr>
          <w:rStyle w:val="EndnoteReference"/>
          <w:rFonts w:ascii="Arial" w:hAnsi="Arial" w:cs="Arial"/>
          <w:sz w:val="22"/>
          <w:szCs w:val="22"/>
        </w:rPr>
        <w:endnoteReference w:id="19"/>
      </w:r>
      <w:r w:rsidRPr="006C27CD">
        <w:rPr>
          <w:rFonts w:ascii="Arial" w:hAnsi="Arial" w:cs="Arial"/>
          <w:sz w:val="22"/>
          <w:szCs w:val="22"/>
        </w:rPr>
        <w:t xml:space="preserve">  </w:t>
      </w:r>
    </w:p>
    <w:p w14:paraId="7F24DA5B" w14:textId="77777777" w:rsidR="008B4D33" w:rsidRDefault="008B4D33" w:rsidP="006E5D33">
      <w:pPr>
        <w:rPr>
          <w:rFonts w:ascii="Arial" w:hAnsi="Arial" w:cs="Arial"/>
          <w:sz w:val="22"/>
          <w:szCs w:val="22"/>
        </w:rPr>
      </w:pPr>
    </w:p>
    <w:p w14:paraId="43D9CA3F" w14:textId="77777777" w:rsidR="008B4D33" w:rsidRPr="006C27CD" w:rsidRDefault="008B4D33" w:rsidP="006E5D33">
      <w:pPr>
        <w:rPr>
          <w:rFonts w:ascii="Arial" w:hAnsi="Arial" w:cs="Arial"/>
          <w:sz w:val="22"/>
          <w:szCs w:val="22"/>
        </w:rPr>
      </w:pPr>
      <w:r>
        <w:rPr>
          <w:rFonts w:ascii="Arial" w:hAnsi="Arial" w:cs="Arial"/>
          <w:sz w:val="22"/>
          <w:szCs w:val="22"/>
        </w:rPr>
        <w:t xml:space="preserve">In 2004, a </w:t>
      </w:r>
      <w:r w:rsidRPr="006C27CD">
        <w:rPr>
          <w:rFonts w:ascii="Arial" w:hAnsi="Arial" w:cs="Arial"/>
          <w:sz w:val="22"/>
          <w:szCs w:val="22"/>
        </w:rPr>
        <w:t>targeted study conducted for the City of Ann Arbor assessed city waters for 22 compounds of concern.</w:t>
      </w:r>
      <w:r w:rsidRPr="007E442F">
        <w:rPr>
          <w:rStyle w:val="EndnoteReference"/>
          <w:rFonts w:ascii="Arial" w:hAnsi="Arial" w:cs="Arial"/>
          <w:sz w:val="22"/>
          <w:szCs w:val="22"/>
        </w:rPr>
        <w:t xml:space="preserve"> </w:t>
      </w:r>
      <w:r w:rsidRPr="00C40AE3">
        <w:rPr>
          <w:rStyle w:val="EndnoteReference"/>
          <w:rFonts w:ascii="Arial" w:hAnsi="Arial" w:cs="Arial"/>
          <w:sz w:val="22"/>
          <w:szCs w:val="22"/>
        </w:rPr>
        <w:endnoteReference w:id="20"/>
      </w:r>
      <w:r w:rsidRPr="00C40AE3">
        <w:rPr>
          <w:rFonts w:ascii="Arial" w:hAnsi="Arial" w:cs="Arial"/>
          <w:sz w:val="22"/>
          <w:szCs w:val="22"/>
        </w:rPr>
        <w:t xml:space="preserve"> </w:t>
      </w:r>
      <w:r w:rsidRPr="006C27CD">
        <w:rPr>
          <w:rFonts w:ascii="Arial" w:hAnsi="Arial" w:cs="Arial"/>
          <w:sz w:val="22"/>
          <w:szCs w:val="22"/>
        </w:rPr>
        <w:t xml:space="preserve"> The researchers in that study found that ten of the 22 compounds were present in the source water in Barton Pond, with four remaining in finished drinking water; and 17 of the 22 compounds were found in </w:t>
      </w:r>
      <w:r w:rsidRPr="00C40AE3">
        <w:rPr>
          <w:rFonts w:ascii="Arial" w:hAnsi="Arial" w:cs="Arial"/>
          <w:sz w:val="22"/>
          <w:szCs w:val="22"/>
        </w:rPr>
        <w:t>wastewater</w:t>
      </w:r>
      <w:r w:rsidRPr="006C27CD">
        <w:rPr>
          <w:rFonts w:ascii="Arial" w:hAnsi="Arial" w:cs="Arial"/>
          <w:sz w:val="22"/>
          <w:szCs w:val="22"/>
        </w:rPr>
        <w:t xml:space="preserve"> influent, with 15 compounds making their way into the effluent discharged to the Huron River.  The existing treatment processes for both drinking water and wastewater reduced the concentrations for most, but not all the target compounds.</w:t>
      </w:r>
    </w:p>
    <w:p w14:paraId="1530B007" w14:textId="77777777" w:rsidR="008B4D33" w:rsidRPr="00153505" w:rsidRDefault="008B4D33" w:rsidP="006E5D33">
      <w:pPr>
        <w:spacing w:before="120" w:after="120"/>
        <w:rPr>
          <w:rFonts w:ascii="Arial" w:hAnsi="Arial" w:cs="Arial"/>
          <w:b/>
          <w:sz w:val="22"/>
          <w:szCs w:val="22"/>
        </w:rPr>
      </w:pPr>
    </w:p>
    <w:p w14:paraId="07DDA78E" w14:textId="77777777" w:rsidR="008B4D33" w:rsidRPr="008A3762" w:rsidRDefault="008B4D33" w:rsidP="00A0673D">
      <w:pPr>
        <w:pStyle w:val="WMP-header4"/>
        <w:outlineLvl w:val="3"/>
        <w:rPr>
          <w:u w:val="single"/>
        </w:rPr>
      </w:pPr>
      <w:bookmarkStart w:id="24" w:name="_Toc111629329"/>
      <w:r w:rsidRPr="001F5ED3">
        <w:rPr>
          <w:bCs/>
        </w:rPr>
        <w:t>2.3.1.</w:t>
      </w:r>
      <w:r>
        <w:rPr>
          <w:bCs/>
        </w:rPr>
        <w:t>6</w:t>
      </w:r>
      <w:r w:rsidRPr="001F5ED3">
        <w:rPr>
          <w:bCs/>
        </w:rPr>
        <w:t xml:space="preserve"> </w:t>
      </w:r>
      <w:r w:rsidRPr="00D32660">
        <w:t>Acidity (pH)</w:t>
      </w:r>
      <w:bookmarkEnd w:id="24"/>
    </w:p>
    <w:p w14:paraId="5D71B01A" w14:textId="77777777" w:rsidR="008B4D33" w:rsidRPr="00153505" w:rsidRDefault="008B4D33" w:rsidP="006E5D33">
      <w:pPr>
        <w:rPr>
          <w:rFonts w:ascii="Arial" w:hAnsi="Arial" w:cs="Arial"/>
          <w:sz w:val="22"/>
          <w:szCs w:val="22"/>
        </w:rPr>
      </w:pPr>
      <w:r w:rsidRPr="00153505">
        <w:rPr>
          <w:rFonts w:ascii="Arial" w:hAnsi="Arial" w:cs="Arial"/>
          <w:sz w:val="22"/>
          <w:szCs w:val="22"/>
        </w:rPr>
        <w:t xml:space="preserve">Measuring pH provides information about the H+ concentration in the water.  pH is measured on a logarithmic scale that ranges from 0-14, so river water with a pH value of 6 is 10 times more acidic than water with a pH value of 7.  Organisms that live in rivers and streams can survive only in a limited range of pH values.  In Michigan surface waters, most pH values range between 7.6 and 8.0.  Michigan Water Quality Standards require pH values to be within the range of 6.5 to 9.0 for all waters of the state.  The pH of rivers and streams may fluctuate due to natural events, but humans also can cause unnatural fluctuations in </w:t>
      </w:r>
      <w:proofErr w:type="spellStart"/>
      <w:r w:rsidRPr="00153505">
        <w:rPr>
          <w:rFonts w:ascii="Arial" w:hAnsi="Arial" w:cs="Arial"/>
          <w:sz w:val="22"/>
          <w:szCs w:val="22"/>
        </w:rPr>
        <w:t>pH.</w:t>
      </w:r>
      <w:proofErr w:type="spellEnd"/>
      <w:r w:rsidRPr="00153505">
        <w:rPr>
          <w:rFonts w:ascii="Arial" w:hAnsi="Arial" w:cs="Arial"/>
          <w:sz w:val="22"/>
          <w:szCs w:val="22"/>
        </w:rPr>
        <w:t xml:space="preserve">  For example, chemical contamination from spills can cause short-term pH changes.  </w:t>
      </w:r>
    </w:p>
    <w:p w14:paraId="6D7DB427" w14:textId="77777777" w:rsidR="008B4D33" w:rsidRPr="00153505" w:rsidRDefault="008B4D33" w:rsidP="006E5D33">
      <w:pPr>
        <w:rPr>
          <w:rFonts w:ascii="Arial" w:hAnsi="Arial" w:cs="Arial"/>
          <w:color w:val="FF0000"/>
          <w:sz w:val="22"/>
          <w:szCs w:val="22"/>
        </w:rPr>
      </w:pPr>
    </w:p>
    <w:p w14:paraId="0A752CCA" w14:textId="77777777" w:rsidR="008B4D33" w:rsidRPr="008A3762" w:rsidRDefault="008B4D33" w:rsidP="00A0673D">
      <w:pPr>
        <w:pStyle w:val="WMP-header4"/>
        <w:outlineLvl w:val="3"/>
        <w:rPr>
          <w:u w:val="single"/>
        </w:rPr>
      </w:pPr>
      <w:bookmarkStart w:id="25" w:name="_Toc111629330"/>
      <w:r w:rsidRPr="001F5ED3">
        <w:t>2.3.1.</w:t>
      </w:r>
      <w:r>
        <w:t>7</w:t>
      </w:r>
      <w:r w:rsidRPr="001F5ED3">
        <w:t xml:space="preserve"> </w:t>
      </w:r>
      <w:r w:rsidRPr="00D32660">
        <w:t>Turbidity</w:t>
      </w:r>
      <w:r w:rsidRPr="00D32660" w:rsidDel="007F1B8A">
        <w:t xml:space="preserve"> and</w:t>
      </w:r>
      <w:r w:rsidRPr="00D32660">
        <w:t xml:space="preserve"> Suspended Sediments</w:t>
      </w:r>
      <w:bookmarkEnd w:id="25"/>
    </w:p>
    <w:p w14:paraId="4C43F528" w14:textId="77777777" w:rsidR="008B4D33" w:rsidRPr="00C40AE3" w:rsidRDefault="008B4D33" w:rsidP="006E5D33">
      <w:pPr>
        <w:rPr>
          <w:rFonts w:ascii="Arial" w:hAnsi="Arial" w:cs="Arial"/>
        </w:rPr>
      </w:pPr>
      <w:r w:rsidRPr="00153505">
        <w:rPr>
          <w:rFonts w:ascii="Arial" w:eastAsia="Arial" w:hAnsi="Arial" w:cs="Arial"/>
          <w:sz w:val="22"/>
          <w:szCs w:val="22"/>
        </w:rPr>
        <w:t xml:space="preserve">While some sedimentation in a river system is natural, </w:t>
      </w:r>
      <w:r>
        <w:rPr>
          <w:rFonts w:ascii="Arial" w:eastAsia="Arial" w:hAnsi="Arial" w:cs="Arial"/>
          <w:sz w:val="22"/>
          <w:szCs w:val="22"/>
        </w:rPr>
        <w:t>when</w:t>
      </w:r>
      <w:r w:rsidRPr="00153505">
        <w:rPr>
          <w:rFonts w:ascii="Arial" w:eastAsia="Arial" w:hAnsi="Arial" w:cs="Arial"/>
          <w:sz w:val="22"/>
          <w:szCs w:val="22"/>
        </w:rPr>
        <w:t xml:space="preserve"> streambanks in one area erode and the soil is deposited downstream, the Watershed experiences heavy sedimentation on the Huron </w:t>
      </w:r>
      <w:r>
        <w:rPr>
          <w:rFonts w:ascii="Arial" w:eastAsia="Arial" w:hAnsi="Arial" w:cs="Arial"/>
          <w:sz w:val="22"/>
          <w:szCs w:val="22"/>
        </w:rPr>
        <w:t>River</w:t>
      </w:r>
      <w:r w:rsidRPr="00153505">
        <w:rPr>
          <w:rFonts w:ascii="Arial" w:eastAsia="Arial" w:hAnsi="Arial" w:cs="Arial"/>
          <w:sz w:val="22"/>
          <w:szCs w:val="22"/>
        </w:rPr>
        <w:t>, its tributaries, and lakes and impoundments. Impacts of soil erosion and sedimentation on downstream water resources include decreased aesthetic quality with increased turbidity, decreased light penetration and decreased plant growth, and decreased aquatic habitat quality with sediment covering and clogging gills of fish and aquatic insects</w:t>
      </w:r>
      <w:r w:rsidRPr="00C40AE3">
        <w:rPr>
          <w:rFonts w:ascii="Arial" w:eastAsia="Arial" w:hAnsi="Arial" w:cs="Arial"/>
          <w:sz w:val="22"/>
          <w:szCs w:val="22"/>
        </w:rPr>
        <w:t>.</w:t>
      </w:r>
      <w:r w:rsidRPr="00153505">
        <w:rPr>
          <w:rFonts w:ascii="Arial" w:eastAsia="Arial" w:hAnsi="Arial" w:cs="Arial"/>
          <w:sz w:val="22"/>
          <w:szCs w:val="22"/>
        </w:rPr>
        <w:t xml:space="preserve">  In addition, nutrients and other pollutants often bond with soil particles, increasing the detrimental impacts of sedimentation on water resources.</w:t>
      </w:r>
    </w:p>
    <w:p w14:paraId="6620ED13" w14:textId="77777777" w:rsidR="008B4D33" w:rsidRPr="00C40AE3" w:rsidRDefault="008B4D33" w:rsidP="006E5D33">
      <w:pPr>
        <w:rPr>
          <w:rFonts w:ascii="Arial" w:hAnsi="Arial" w:cs="Arial"/>
        </w:rPr>
      </w:pPr>
      <w:r w:rsidRPr="00153505">
        <w:rPr>
          <w:rFonts w:ascii="Arial" w:eastAsia="Arial" w:hAnsi="Arial" w:cs="Arial"/>
          <w:color w:val="FF0000"/>
          <w:sz w:val="22"/>
          <w:szCs w:val="22"/>
        </w:rPr>
        <w:t xml:space="preserve"> </w:t>
      </w:r>
    </w:p>
    <w:p w14:paraId="1833E12C" w14:textId="77777777" w:rsidR="008B4D33" w:rsidRPr="00C40AE3" w:rsidRDefault="008B4D33" w:rsidP="006E5D33">
      <w:pPr>
        <w:rPr>
          <w:rFonts w:ascii="Arial" w:hAnsi="Arial" w:cs="Arial"/>
        </w:rPr>
      </w:pPr>
      <w:r w:rsidRPr="00153505">
        <w:rPr>
          <w:rFonts w:ascii="Arial" w:eastAsia="Arial" w:hAnsi="Arial" w:cs="Arial"/>
          <w:sz w:val="22"/>
          <w:szCs w:val="22"/>
        </w:rPr>
        <w:lastRenderedPageBreak/>
        <w:t xml:space="preserve">Many streambeds in the Huron River system are naturally composed of sand, gravel, and cobble. However, a problem arises when </w:t>
      </w:r>
      <w:r>
        <w:rPr>
          <w:rFonts w:ascii="Arial" w:eastAsia="Arial" w:hAnsi="Arial" w:cs="Arial"/>
          <w:sz w:val="22"/>
          <w:szCs w:val="22"/>
        </w:rPr>
        <w:t xml:space="preserve">there are rapid </w:t>
      </w:r>
      <w:r w:rsidRPr="00153505">
        <w:rPr>
          <w:rFonts w:ascii="Arial" w:eastAsia="Arial" w:hAnsi="Arial" w:cs="Arial"/>
          <w:sz w:val="22"/>
          <w:szCs w:val="22"/>
        </w:rPr>
        <w:t>shift</w:t>
      </w:r>
      <w:r>
        <w:rPr>
          <w:rFonts w:ascii="Arial" w:eastAsia="Arial" w:hAnsi="Arial" w:cs="Arial"/>
          <w:sz w:val="22"/>
          <w:szCs w:val="22"/>
        </w:rPr>
        <w:t>s</w:t>
      </w:r>
      <w:r w:rsidRPr="00153505">
        <w:rPr>
          <w:rFonts w:ascii="Arial" w:eastAsia="Arial" w:hAnsi="Arial" w:cs="Arial"/>
          <w:sz w:val="22"/>
          <w:szCs w:val="22"/>
        </w:rPr>
        <w:t xml:space="preserve"> from these coarse materials to more fine sediments. Excessive deposits of fine sediment are known to impair macroinvertebrate communities. </w:t>
      </w:r>
    </w:p>
    <w:p w14:paraId="195224B6" w14:textId="77777777" w:rsidR="008B4D33" w:rsidRPr="00C40AE3" w:rsidRDefault="008B4D33" w:rsidP="006E5D33">
      <w:pPr>
        <w:rPr>
          <w:rFonts w:ascii="Arial" w:hAnsi="Arial" w:cs="Arial"/>
        </w:rPr>
      </w:pPr>
      <w:r w:rsidRPr="00153505">
        <w:rPr>
          <w:rFonts w:ascii="Arial" w:eastAsia="Arial" w:hAnsi="Arial" w:cs="Arial"/>
          <w:sz w:val="22"/>
          <w:szCs w:val="22"/>
        </w:rPr>
        <w:t xml:space="preserve"> </w:t>
      </w:r>
    </w:p>
    <w:p w14:paraId="7F5717C8" w14:textId="77777777" w:rsidR="008B4D33" w:rsidRPr="00C40AE3" w:rsidRDefault="008B4D33" w:rsidP="006E5D33">
      <w:pPr>
        <w:rPr>
          <w:rFonts w:ascii="Arial" w:hAnsi="Arial" w:cs="Arial"/>
        </w:rPr>
      </w:pPr>
      <w:r w:rsidRPr="00153505">
        <w:rPr>
          <w:rFonts w:ascii="Arial" w:eastAsia="Arial" w:hAnsi="Arial" w:cs="Arial"/>
          <w:sz w:val="22"/>
          <w:szCs w:val="22"/>
        </w:rPr>
        <w:t>Increased stormwater flows result in increased sediment loadings for a variety of reasons. Soil particles are picked up by stormwater as it flows over roads, through ditches, and off of bridges into surface waters. Increased flows from stormwater runoff or dam discharge have enough energy to scour soils and destabilize stream banks, carrying bank sediments downstream. In addition, runoff from some construction sites can be sources of sediment</w:t>
      </w:r>
      <w:r>
        <w:rPr>
          <w:rFonts w:ascii="Arial" w:eastAsia="Arial" w:hAnsi="Arial" w:cs="Arial"/>
          <w:sz w:val="22"/>
          <w:szCs w:val="22"/>
        </w:rPr>
        <w:t xml:space="preserve"> </w:t>
      </w:r>
      <w:r w:rsidRPr="00153505">
        <w:rPr>
          <w:rFonts w:ascii="Arial" w:eastAsia="Arial" w:hAnsi="Arial" w:cs="Arial"/>
          <w:sz w:val="22"/>
          <w:szCs w:val="22"/>
        </w:rPr>
        <w:t xml:space="preserve">if proper soil erosion and sedimentation controls are not in place on bare soil that has been exposed during the construction process. Sediment enters the water at bridges as a result of inadequate construction and maintenance practices, and via road ditches, which convey sediment from unpaved roads into the stream. Other sources of sediment include </w:t>
      </w:r>
      <w:proofErr w:type="gramStart"/>
      <w:r w:rsidRPr="00153505">
        <w:rPr>
          <w:rFonts w:ascii="Arial" w:eastAsia="Arial" w:hAnsi="Arial" w:cs="Arial"/>
          <w:sz w:val="22"/>
          <w:szCs w:val="22"/>
        </w:rPr>
        <w:t>wash-off</w:t>
      </w:r>
      <w:proofErr w:type="gramEnd"/>
      <w:r w:rsidRPr="00153505">
        <w:rPr>
          <w:rFonts w:ascii="Arial" w:eastAsia="Arial" w:hAnsi="Arial" w:cs="Arial"/>
          <w:sz w:val="22"/>
          <w:szCs w:val="22"/>
        </w:rPr>
        <w:t xml:space="preserve"> from paved streets and parking lots.  Active agricultural land may be a source of concern in the rural areas of the </w:t>
      </w:r>
      <w:r>
        <w:rPr>
          <w:rFonts w:ascii="Arial" w:eastAsia="Arial" w:hAnsi="Arial" w:cs="Arial"/>
          <w:sz w:val="22"/>
          <w:szCs w:val="22"/>
        </w:rPr>
        <w:t>W</w:t>
      </w:r>
      <w:r w:rsidRPr="00153505">
        <w:rPr>
          <w:rFonts w:ascii="Arial" w:eastAsia="Arial" w:hAnsi="Arial" w:cs="Arial"/>
          <w:sz w:val="22"/>
          <w:szCs w:val="22"/>
        </w:rPr>
        <w:t xml:space="preserve">atershed since traditional farming practices leave soil bare and tilled at certain times of the year, which </w:t>
      </w:r>
      <w:r>
        <w:rPr>
          <w:rFonts w:ascii="Arial" w:eastAsia="Arial" w:hAnsi="Arial" w:cs="Arial"/>
          <w:sz w:val="22"/>
          <w:szCs w:val="22"/>
        </w:rPr>
        <w:t>results in</w:t>
      </w:r>
      <w:r w:rsidRPr="00153505">
        <w:rPr>
          <w:rFonts w:ascii="Arial" w:eastAsia="Arial" w:hAnsi="Arial" w:cs="Arial"/>
          <w:sz w:val="22"/>
          <w:szCs w:val="22"/>
        </w:rPr>
        <w:t xml:space="preserve"> soil vulnerable to wind and water erosion.</w:t>
      </w:r>
    </w:p>
    <w:p w14:paraId="4B38404D" w14:textId="77777777" w:rsidR="008B4D33" w:rsidRPr="00153505" w:rsidRDefault="008B4D33" w:rsidP="006E5D33">
      <w:pPr>
        <w:rPr>
          <w:rFonts w:ascii="Arial" w:hAnsi="Arial" w:cs="Arial"/>
          <w:sz w:val="22"/>
          <w:szCs w:val="22"/>
        </w:rPr>
      </w:pPr>
    </w:p>
    <w:p w14:paraId="4807B27F" w14:textId="6A763DC4" w:rsidR="008B4D33" w:rsidRPr="0069444C" w:rsidRDefault="008B4D33" w:rsidP="006E5D33">
      <w:pPr>
        <w:rPr>
          <w:rFonts w:ascii="Arial" w:hAnsi="Arial" w:cs="Arial"/>
          <w:sz w:val="22"/>
          <w:szCs w:val="22"/>
        </w:rPr>
      </w:pPr>
      <w:r w:rsidRPr="0069444C">
        <w:rPr>
          <w:rFonts w:ascii="Arial" w:hAnsi="Arial" w:cs="Arial"/>
          <w:sz w:val="22"/>
          <w:szCs w:val="22"/>
        </w:rPr>
        <w:t xml:space="preserve">Turbidity is the measure of the relative clarity of water and </w:t>
      </w:r>
      <w:r>
        <w:rPr>
          <w:rFonts w:ascii="Arial" w:hAnsi="Arial" w:cs="Arial"/>
          <w:sz w:val="22"/>
          <w:szCs w:val="22"/>
        </w:rPr>
        <w:t>is a measure of</w:t>
      </w:r>
      <w:r w:rsidRPr="0069444C">
        <w:rPr>
          <w:rFonts w:ascii="Arial" w:hAnsi="Arial" w:cs="Arial"/>
          <w:sz w:val="22"/>
          <w:szCs w:val="22"/>
        </w:rPr>
        <w:t xml:space="preserve"> </w:t>
      </w:r>
      <w:r>
        <w:rPr>
          <w:rFonts w:ascii="Arial" w:hAnsi="Arial" w:cs="Arial"/>
          <w:sz w:val="22"/>
          <w:szCs w:val="22"/>
        </w:rPr>
        <w:t xml:space="preserve">the </w:t>
      </w:r>
      <w:r w:rsidRPr="0069444C">
        <w:rPr>
          <w:rFonts w:ascii="Arial" w:hAnsi="Arial" w:cs="Arial"/>
          <w:sz w:val="22"/>
          <w:szCs w:val="22"/>
        </w:rPr>
        <w:t>suspended solids in the water that reduce the transmission of light.</w:t>
      </w:r>
      <w:r>
        <w:rPr>
          <w:rFonts w:ascii="Arial" w:hAnsi="Arial" w:cs="Arial"/>
          <w:sz w:val="22"/>
          <w:szCs w:val="22"/>
        </w:rPr>
        <w:t xml:space="preserve"> </w:t>
      </w:r>
      <w:r w:rsidRPr="0069444C">
        <w:rPr>
          <w:rFonts w:ascii="Arial" w:hAnsi="Arial" w:cs="Arial"/>
          <w:sz w:val="22"/>
          <w:szCs w:val="22"/>
        </w:rPr>
        <w:t>Th</w:t>
      </w:r>
      <w:r>
        <w:rPr>
          <w:rFonts w:ascii="Arial" w:hAnsi="Arial" w:cs="Arial"/>
          <w:sz w:val="22"/>
          <w:szCs w:val="22"/>
        </w:rPr>
        <w:t>is</w:t>
      </w:r>
      <w:r w:rsidRPr="0069444C">
        <w:rPr>
          <w:rFonts w:ascii="Arial" w:hAnsi="Arial" w:cs="Arial"/>
          <w:sz w:val="22"/>
          <w:szCs w:val="22"/>
        </w:rPr>
        <w:t xml:space="preserve"> relationship depends on several factors including the size and shape of the suspended particles </w:t>
      </w:r>
      <w:r>
        <w:rPr>
          <w:rFonts w:ascii="Arial" w:hAnsi="Arial" w:cs="Arial"/>
          <w:sz w:val="22"/>
          <w:szCs w:val="22"/>
        </w:rPr>
        <w:t>along with</w:t>
      </w:r>
      <w:r w:rsidRPr="0069444C">
        <w:rPr>
          <w:rFonts w:ascii="Arial" w:hAnsi="Arial" w:cs="Arial"/>
          <w:sz w:val="22"/>
          <w:szCs w:val="22"/>
        </w:rPr>
        <w:t xml:space="preserve"> their density</w:t>
      </w:r>
      <w:r>
        <w:rPr>
          <w:rFonts w:ascii="Arial" w:hAnsi="Arial" w:cs="Arial"/>
          <w:sz w:val="22"/>
          <w:szCs w:val="22"/>
        </w:rPr>
        <w:t xml:space="preserve"> in the water, as well as the degree of turbulence at the sample site.</w:t>
      </w:r>
      <w:r w:rsidRPr="0069444C">
        <w:rPr>
          <w:rFonts w:ascii="Arial" w:hAnsi="Arial" w:cs="Arial"/>
          <w:sz w:val="22"/>
          <w:szCs w:val="22"/>
        </w:rPr>
        <w:t xml:space="preserve"> Turbidity should not be confused with color since darkly colored water can </w:t>
      </w:r>
      <w:r>
        <w:rPr>
          <w:rFonts w:ascii="Arial" w:hAnsi="Arial" w:cs="Arial"/>
          <w:sz w:val="22"/>
          <w:szCs w:val="22"/>
        </w:rPr>
        <w:t>still have low</w:t>
      </w:r>
      <w:r w:rsidRPr="0069444C">
        <w:rPr>
          <w:rFonts w:ascii="Arial" w:hAnsi="Arial" w:cs="Arial"/>
          <w:sz w:val="22"/>
          <w:szCs w:val="22"/>
        </w:rPr>
        <w:t xml:space="preserve"> turbid</w:t>
      </w:r>
      <w:r>
        <w:rPr>
          <w:rFonts w:ascii="Arial" w:hAnsi="Arial" w:cs="Arial"/>
          <w:sz w:val="22"/>
          <w:szCs w:val="22"/>
        </w:rPr>
        <w:t>ity or high relative clarity</w:t>
      </w:r>
      <w:r w:rsidRPr="0069444C">
        <w:rPr>
          <w:rFonts w:ascii="Arial" w:hAnsi="Arial" w:cs="Arial"/>
          <w:sz w:val="22"/>
          <w:szCs w:val="22"/>
        </w:rPr>
        <w:t>. Total suspended solids (TSS) include all particles suspended in water that will not pass through a filter</w:t>
      </w:r>
      <w:r>
        <w:rPr>
          <w:rFonts w:ascii="Arial" w:hAnsi="Arial" w:cs="Arial"/>
          <w:sz w:val="22"/>
          <w:szCs w:val="22"/>
        </w:rPr>
        <w:t xml:space="preserve"> of a specified size</w:t>
      </w:r>
      <w:r w:rsidRPr="0069444C">
        <w:rPr>
          <w:rFonts w:ascii="Arial" w:hAnsi="Arial" w:cs="Arial"/>
          <w:sz w:val="22"/>
          <w:szCs w:val="22"/>
        </w:rPr>
        <w:t xml:space="preserve">. Suspended solids are any particles/substances that are neither dissolved nor settled in the water. </w:t>
      </w:r>
      <w:r>
        <w:rPr>
          <w:rFonts w:ascii="Arial" w:hAnsi="Arial" w:cs="Arial"/>
          <w:sz w:val="22"/>
          <w:szCs w:val="22"/>
        </w:rPr>
        <w:t xml:space="preserve">A third measure, suspended sediment concentration (SSC) is now being promoted by EGLE, USGS and EPA as a more accurate measure for open channel monitoring.  SSC differs from TSS in the methods of calculation. Both express the </w:t>
      </w:r>
      <w:proofErr w:type="gramStart"/>
      <w:r>
        <w:rPr>
          <w:rFonts w:ascii="Arial" w:hAnsi="Arial" w:cs="Arial"/>
          <w:sz w:val="22"/>
          <w:szCs w:val="22"/>
        </w:rPr>
        <w:t>amount</w:t>
      </w:r>
      <w:proofErr w:type="gramEnd"/>
      <w:r>
        <w:rPr>
          <w:rFonts w:ascii="Arial" w:hAnsi="Arial" w:cs="Arial"/>
          <w:sz w:val="22"/>
          <w:szCs w:val="22"/>
        </w:rPr>
        <w:t xml:space="preserve"> of sediments suspended in a sample of water.</w:t>
      </w:r>
      <w:r w:rsidRPr="00C40AE3">
        <w:rPr>
          <w:rFonts w:ascii="Arial" w:hAnsi="Arial" w:cs="Arial"/>
        </w:rPr>
        <w:t xml:space="preserve">  </w:t>
      </w:r>
    </w:p>
    <w:p w14:paraId="6A579AE2" w14:textId="77777777" w:rsidR="008B4D33" w:rsidRPr="0069444C" w:rsidRDefault="008B4D33" w:rsidP="006E5D33">
      <w:pPr>
        <w:rPr>
          <w:rFonts w:ascii="Arial" w:hAnsi="Arial" w:cs="Arial"/>
          <w:sz w:val="22"/>
          <w:szCs w:val="22"/>
        </w:rPr>
      </w:pPr>
    </w:p>
    <w:p w14:paraId="3DDDCDC2" w14:textId="5EF03F14" w:rsidR="008B4D33" w:rsidRPr="0069444C" w:rsidRDefault="008B4D33" w:rsidP="006E5D33">
      <w:pPr>
        <w:rPr>
          <w:rFonts w:ascii="Arial" w:hAnsi="Arial" w:cs="Arial"/>
          <w:sz w:val="22"/>
          <w:szCs w:val="22"/>
        </w:rPr>
      </w:pPr>
      <w:r w:rsidRPr="0069444C">
        <w:rPr>
          <w:rFonts w:ascii="Arial" w:hAnsi="Arial" w:cs="Arial"/>
          <w:sz w:val="22"/>
          <w:szCs w:val="22"/>
        </w:rPr>
        <w:t>High turbidity and TSS</w:t>
      </w:r>
      <w:r>
        <w:rPr>
          <w:rFonts w:ascii="Arial" w:hAnsi="Arial" w:cs="Arial"/>
          <w:sz w:val="22"/>
          <w:szCs w:val="22"/>
        </w:rPr>
        <w:t>/SSC</w:t>
      </w:r>
      <w:r w:rsidRPr="0069444C">
        <w:rPr>
          <w:rFonts w:ascii="Arial" w:hAnsi="Arial" w:cs="Arial"/>
          <w:sz w:val="22"/>
          <w:szCs w:val="22"/>
        </w:rPr>
        <w:t xml:space="preserve"> result from soil erosion, stormwater runoff, algal </w:t>
      </w:r>
      <w:proofErr w:type="gramStart"/>
      <w:r w:rsidRPr="0069444C">
        <w:rPr>
          <w:rFonts w:ascii="Arial" w:hAnsi="Arial" w:cs="Arial"/>
          <w:sz w:val="22"/>
          <w:szCs w:val="22"/>
        </w:rPr>
        <w:t>blooms</w:t>
      </w:r>
      <w:proofErr w:type="gramEnd"/>
      <w:r w:rsidRPr="0069444C">
        <w:rPr>
          <w:rFonts w:ascii="Arial" w:hAnsi="Arial" w:cs="Arial"/>
          <w:sz w:val="22"/>
          <w:szCs w:val="22"/>
        </w:rPr>
        <w:t xml:space="preserve"> and bottom sediment disturbances.</w:t>
      </w:r>
      <w:r>
        <w:rPr>
          <w:rFonts w:ascii="Arial" w:hAnsi="Arial" w:cs="Arial"/>
          <w:sz w:val="22"/>
          <w:szCs w:val="22"/>
        </w:rPr>
        <w:t xml:space="preserve"> </w:t>
      </w:r>
      <w:r w:rsidRPr="0069444C">
        <w:rPr>
          <w:rFonts w:ascii="Arial" w:hAnsi="Arial" w:cs="Arial"/>
          <w:sz w:val="22"/>
          <w:szCs w:val="22"/>
        </w:rPr>
        <w:t>Turbid water absorbs heat from the sun.</w:t>
      </w:r>
      <w:r>
        <w:rPr>
          <w:rFonts w:ascii="Arial" w:hAnsi="Arial" w:cs="Arial"/>
          <w:sz w:val="22"/>
          <w:szCs w:val="22"/>
        </w:rPr>
        <w:t xml:space="preserve"> </w:t>
      </w:r>
      <w:r w:rsidRPr="0069444C">
        <w:rPr>
          <w:rFonts w:ascii="Arial" w:hAnsi="Arial" w:cs="Arial"/>
          <w:sz w:val="22"/>
          <w:szCs w:val="22"/>
        </w:rPr>
        <w:t>Warmer water holds less oxygen than cooler water, resulting in less oxygen</w:t>
      </w:r>
      <w:r>
        <w:rPr>
          <w:rFonts w:ascii="Arial" w:hAnsi="Arial" w:cs="Arial"/>
          <w:sz w:val="22"/>
          <w:szCs w:val="22"/>
        </w:rPr>
        <w:t>ated</w:t>
      </w:r>
      <w:r w:rsidRPr="0069444C">
        <w:rPr>
          <w:rFonts w:ascii="Arial" w:hAnsi="Arial" w:cs="Arial"/>
          <w:sz w:val="22"/>
          <w:szCs w:val="22"/>
        </w:rPr>
        <w:t xml:space="preserve"> water. Water with high turbidity loses its ability to support diverse aquatic biology. Suspended solids </w:t>
      </w:r>
      <w:r>
        <w:rPr>
          <w:rFonts w:ascii="Arial" w:hAnsi="Arial" w:cs="Arial"/>
          <w:sz w:val="22"/>
          <w:szCs w:val="22"/>
        </w:rPr>
        <w:t xml:space="preserve">can be diverse in composition, including </w:t>
      </w:r>
      <w:r w:rsidRPr="0069444C">
        <w:rPr>
          <w:rFonts w:ascii="Arial" w:hAnsi="Arial" w:cs="Arial"/>
          <w:sz w:val="22"/>
          <w:szCs w:val="22"/>
        </w:rPr>
        <w:t xml:space="preserve">clay, </w:t>
      </w:r>
      <w:proofErr w:type="gramStart"/>
      <w:r w:rsidRPr="0069444C">
        <w:rPr>
          <w:rFonts w:ascii="Arial" w:hAnsi="Arial" w:cs="Arial"/>
          <w:sz w:val="22"/>
          <w:szCs w:val="22"/>
        </w:rPr>
        <w:t>silt</w:t>
      </w:r>
      <w:proofErr w:type="gramEnd"/>
      <w:r w:rsidRPr="0069444C">
        <w:rPr>
          <w:rFonts w:ascii="Arial" w:hAnsi="Arial" w:cs="Arial"/>
          <w:sz w:val="22"/>
          <w:szCs w:val="22"/>
        </w:rPr>
        <w:t xml:space="preserve"> and plankton </w:t>
      </w:r>
      <w:r>
        <w:rPr>
          <w:rFonts w:ascii="Arial" w:hAnsi="Arial" w:cs="Arial"/>
          <w:sz w:val="22"/>
          <w:szCs w:val="22"/>
        </w:rPr>
        <w:t xml:space="preserve">as well as </w:t>
      </w:r>
      <w:r w:rsidRPr="0069444C">
        <w:rPr>
          <w:rFonts w:ascii="Arial" w:hAnsi="Arial" w:cs="Arial"/>
          <w:sz w:val="22"/>
          <w:szCs w:val="22"/>
        </w:rPr>
        <w:t>industrial wastes and sewage</w:t>
      </w:r>
      <w:r>
        <w:rPr>
          <w:rFonts w:ascii="Arial" w:hAnsi="Arial" w:cs="Arial"/>
          <w:sz w:val="22"/>
          <w:szCs w:val="22"/>
        </w:rPr>
        <w:t xml:space="preserve"> or other components</w:t>
      </w:r>
      <w:r w:rsidRPr="0069444C">
        <w:rPr>
          <w:rFonts w:ascii="Arial" w:hAnsi="Arial" w:cs="Arial"/>
          <w:sz w:val="22"/>
          <w:szCs w:val="22"/>
        </w:rPr>
        <w:t>.</w:t>
      </w:r>
      <w:r>
        <w:rPr>
          <w:rFonts w:ascii="Arial" w:hAnsi="Arial" w:cs="Arial"/>
          <w:sz w:val="22"/>
          <w:szCs w:val="22"/>
        </w:rPr>
        <w:t xml:space="preserve"> High amounts of s</w:t>
      </w:r>
      <w:r w:rsidRPr="0069444C">
        <w:rPr>
          <w:rFonts w:ascii="Arial" w:hAnsi="Arial" w:cs="Arial"/>
          <w:sz w:val="22"/>
          <w:szCs w:val="22"/>
        </w:rPr>
        <w:t>uspended solids can clog fish gills, reduce growth rates and disease resistance</w:t>
      </w:r>
      <w:r>
        <w:rPr>
          <w:rFonts w:ascii="Arial" w:hAnsi="Arial" w:cs="Arial"/>
          <w:sz w:val="22"/>
          <w:szCs w:val="22"/>
        </w:rPr>
        <w:t xml:space="preserve"> in aquatic organisms</w:t>
      </w:r>
      <w:r w:rsidRPr="0069444C">
        <w:rPr>
          <w:rFonts w:ascii="Arial" w:hAnsi="Arial" w:cs="Arial"/>
          <w:sz w:val="22"/>
          <w:szCs w:val="22"/>
        </w:rPr>
        <w:t xml:space="preserve">, decrease photosynthesis </w:t>
      </w:r>
      <w:r>
        <w:rPr>
          <w:rFonts w:ascii="Arial" w:hAnsi="Arial" w:cs="Arial"/>
          <w:sz w:val="22"/>
          <w:szCs w:val="22"/>
        </w:rPr>
        <w:t>efficiency,</w:t>
      </w:r>
      <w:r w:rsidRPr="0069444C">
        <w:rPr>
          <w:rFonts w:ascii="Arial" w:hAnsi="Arial" w:cs="Arial"/>
          <w:sz w:val="22"/>
          <w:szCs w:val="22"/>
        </w:rPr>
        <w:t xml:space="preserve"> reduce </w:t>
      </w:r>
      <w:r>
        <w:rPr>
          <w:rFonts w:ascii="Arial" w:hAnsi="Arial" w:cs="Arial"/>
          <w:sz w:val="22"/>
          <w:szCs w:val="22"/>
        </w:rPr>
        <w:t>dissolved oxygen (discussed in a later section)</w:t>
      </w:r>
      <w:r w:rsidRPr="0069444C">
        <w:rPr>
          <w:rFonts w:ascii="Arial" w:hAnsi="Arial" w:cs="Arial"/>
          <w:sz w:val="22"/>
          <w:szCs w:val="22"/>
        </w:rPr>
        <w:t xml:space="preserve"> levels, and prevent egg and larval development. Settled particles can accumulate on the stream bottom and smother fish </w:t>
      </w:r>
      <w:r>
        <w:rPr>
          <w:rFonts w:ascii="Arial" w:hAnsi="Arial" w:cs="Arial"/>
          <w:sz w:val="22"/>
          <w:szCs w:val="22"/>
        </w:rPr>
        <w:t xml:space="preserve">and amphibian </w:t>
      </w:r>
      <w:r w:rsidRPr="0069444C">
        <w:rPr>
          <w:rFonts w:ascii="Arial" w:hAnsi="Arial" w:cs="Arial"/>
          <w:sz w:val="22"/>
          <w:szCs w:val="22"/>
        </w:rPr>
        <w:t>eggs and aquatic insects including larvae of benthic macroinvertebrates.</w:t>
      </w:r>
    </w:p>
    <w:p w14:paraId="012B5669" w14:textId="77777777" w:rsidR="008B4D33" w:rsidRPr="0069444C" w:rsidRDefault="008B4D33" w:rsidP="006E5D33">
      <w:pPr>
        <w:rPr>
          <w:rFonts w:ascii="Arial" w:hAnsi="Arial" w:cs="Arial"/>
          <w:sz w:val="22"/>
          <w:szCs w:val="22"/>
        </w:rPr>
      </w:pPr>
    </w:p>
    <w:p w14:paraId="769E9FD5" w14:textId="77777777" w:rsidR="008B4D33" w:rsidRPr="0069444C" w:rsidRDefault="008B4D33" w:rsidP="006E5D33">
      <w:pPr>
        <w:rPr>
          <w:rFonts w:ascii="Arial" w:hAnsi="Arial" w:cs="Arial"/>
          <w:sz w:val="22"/>
          <w:szCs w:val="22"/>
        </w:rPr>
      </w:pPr>
      <w:r w:rsidRPr="00C40AE3">
        <w:rPr>
          <w:rFonts w:ascii="Arial" w:hAnsi="Arial" w:cs="Arial"/>
          <w:noProof/>
        </w:rPr>
        <w:lastRenderedPageBreak/>
        <w:drawing>
          <wp:anchor distT="0" distB="0" distL="114300" distR="114300" simplePos="0" relativeHeight="251693056" behindDoc="1" locked="0" layoutInCell="1" allowOverlap="1" wp14:anchorId="57F6B8BE" wp14:editId="2F1A42EA">
            <wp:simplePos x="0" y="0"/>
            <wp:positionH relativeFrom="column">
              <wp:posOffset>4047490</wp:posOffset>
            </wp:positionH>
            <wp:positionV relativeFrom="paragraph">
              <wp:posOffset>831850</wp:posOffset>
            </wp:positionV>
            <wp:extent cx="1933575" cy="2400300"/>
            <wp:effectExtent l="19050" t="19050" r="9525" b="0"/>
            <wp:wrapTight wrapText="bothSides">
              <wp:wrapPolygon edited="0">
                <wp:start x="-213" y="-171"/>
                <wp:lineTo x="-213" y="21600"/>
                <wp:lineTo x="21706" y="21600"/>
                <wp:lineTo x="21706" y="-171"/>
                <wp:lineTo x="-213" y="-171"/>
              </wp:wrapPolygon>
            </wp:wrapTight>
            <wp:docPr id="79" name="Picture 41" descr="Storm Drain run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torm Drain runof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33575" cy="24003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69444C">
        <w:rPr>
          <w:rFonts w:ascii="Arial" w:hAnsi="Arial" w:cs="Arial"/>
          <w:sz w:val="22"/>
          <w:szCs w:val="22"/>
        </w:rPr>
        <w:t xml:space="preserve">Michigan Water Quality Standards set </w:t>
      </w:r>
      <w:r>
        <w:rPr>
          <w:rFonts w:ascii="Arial" w:hAnsi="Arial" w:cs="Arial"/>
          <w:sz w:val="22"/>
          <w:szCs w:val="22"/>
        </w:rPr>
        <w:t>a</w:t>
      </w:r>
      <w:r w:rsidRPr="0069444C">
        <w:rPr>
          <w:rFonts w:ascii="Arial" w:hAnsi="Arial" w:cs="Arial"/>
          <w:sz w:val="22"/>
          <w:szCs w:val="22"/>
        </w:rPr>
        <w:t xml:space="preserve"> narrative standard that waters of the state shall not have any of the following unnatural physical properties in quantities which are or may become injurious to any designated use: turbidity, color, oil films, floating solids, foam, settleable solids, suspended solids, and deposits. Most </w:t>
      </w:r>
      <w:r>
        <w:rPr>
          <w:rFonts w:ascii="Arial" w:hAnsi="Arial" w:cs="Arial"/>
          <w:sz w:val="22"/>
          <w:szCs w:val="22"/>
        </w:rPr>
        <w:t xml:space="preserve">observers </w:t>
      </w:r>
      <w:r w:rsidRPr="0069444C">
        <w:rPr>
          <w:rFonts w:ascii="Arial" w:hAnsi="Arial" w:cs="Arial"/>
          <w:sz w:val="22"/>
          <w:szCs w:val="22"/>
        </w:rPr>
        <w:t xml:space="preserve">consider water with a TSS </w:t>
      </w:r>
      <w:proofErr w:type="gramStart"/>
      <w:r w:rsidRPr="0069444C">
        <w:rPr>
          <w:rFonts w:ascii="Arial" w:hAnsi="Arial" w:cs="Arial"/>
          <w:sz w:val="22"/>
          <w:szCs w:val="22"/>
        </w:rPr>
        <w:t>concentration</w:t>
      </w:r>
      <w:proofErr w:type="gramEnd"/>
      <w:r w:rsidRPr="0069444C">
        <w:rPr>
          <w:rFonts w:ascii="Arial" w:hAnsi="Arial" w:cs="Arial"/>
          <w:sz w:val="22"/>
          <w:szCs w:val="22"/>
        </w:rPr>
        <w:t xml:space="preserve"> less than 20 mg/l to be relatively clear. Water with TSS levels between 40 and 80 mg/l tends to appear cloudy, while water with concentrations over 150 mg/l usually appears dirty. The nature of the particles that comprise the suspended solids may cause these numbers to vary.</w:t>
      </w:r>
      <w:r w:rsidRPr="0069444C">
        <w:rPr>
          <w:rFonts w:ascii="Arial" w:hAnsi="Arial" w:cs="Arial"/>
          <w:sz w:val="22"/>
          <w:szCs w:val="22"/>
          <w:vertAlign w:val="superscript"/>
        </w:rPr>
        <w:endnoteReference w:id="21"/>
      </w:r>
      <w:r w:rsidRPr="0069444C">
        <w:rPr>
          <w:rFonts w:ascii="Arial" w:hAnsi="Arial" w:cs="Arial"/>
          <w:sz w:val="22"/>
          <w:szCs w:val="22"/>
        </w:rPr>
        <w:t xml:space="preserve"> Standards have not been established for turbidity, </w:t>
      </w:r>
      <w:r>
        <w:rPr>
          <w:rFonts w:ascii="Arial" w:hAnsi="Arial" w:cs="Arial"/>
          <w:sz w:val="22"/>
          <w:szCs w:val="22"/>
        </w:rPr>
        <w:t>but</w:t>
      </w:r>
      <w:r w:rsidRPr="0069444C">
        <w:rPr>
          <w:rFonts w:ascii="Arial" w:hAnsi="Arial" w:cs="Arial"/>
          <w:sz w:val="22"/>
          <w:szCs w:val="22"/>
        </w:rPr>
        <w:t xml:space="preserve"> levels </w:t>
      </w:r>
      <w:r>
        <w:rPr>
          <w:rFonts w:ascii="Arial" w:hAnsi="Arial" w:cs="Arial"/>
          <w:sz w:val="22"/>
          <w:szCs w:val="22"/>
        </w:rPr>
        <w:t>for turbidity</w:t>
      </w:r>
      <w:r w:rsidRPr="0069444C">
        <w:rPr>
          <w:rFonts w:ascii="Arial" w:hAnsi="Arial" w:cs="Arial"/>
          <w:sz w:val="22"/>
          <w:szCs w:val="22"/>
        </w:rPr>
        <w:t xml:space="preserve"> have been set for stream segments that have been listed for impairment of biota.</w:t>
      </w:r>
    </w:p>
    <w:p w14:paraId="3E66963B" w14:textId="156203FA" w:rsidR="008B4D33" w:rsidRPr="0069444C" w:rsidRDefault="008B4D33" w:rsidP="006E5D33">
      <w:pPr>
        <w:spacing w:before="100" w:beforeAutospacing="1" w:after="120"/>
        <w:rPr>
          <w:rFonts w:ascii="Arial" w:hAnsi="Arial" w:cs="Arial"/>
          <w:b/>
          <w:bCs/>
          <w:sz w:val="22"/>
          <w:szCs w:val="22"/>
        </w:rPr>
      </w:pPr>
      <w:bookmarkStart w:id="26" w:name="Secchidisc"/>
      <w:r w:rsidRPr="0069444C">
        <w:rPr>
          <w:rFonts w:ascii="Arial" w:hAnsi="Arial" w:cs="Arial"/>
          <w:sz w:val="22"/>
          <w:szCs w:val="22"/>
        </w:rPr>
        <w:t xml:space="preserve">A simple, though somewhat subjective, method of measuring water clarity in lakes </w:t>
      </w:r>
      <w:r>
        <w:rPr>
          <w:rFonts w:ascii="Arial" w:hAnsi="Arial" w:cs="Arial"/>
          <w:sz w:val="22"/>
          <w:szCs w:val="22"/>
        </w:rPr>
        <w:t>uses a</w:t>
      </w:r>
      <w:r w:rsidRPr="0069444C">
        <w:rPr>
          <w:rFonts w:ascii="Arial" w:hAnsi="Arial" w:cs="Arial"/>
          <w:sz w:val="22"/>
          <w:szCs w:val="22"/>
        </w:rPr>
        <w:t xml:space="preserve"> Secchi disk, </w:t>
      </w:r>
      <w:r>
        <w:rPr>
          <w:rFonts w:ascii="Arial" w:hAnsi="Arial" w:cs="Arial"/>
          <w:sz w:val="22"/>
          <w:szCs w:val="22"/>
        </w:rPr>
        <w:t xml:space="preserve">which is </w:t>
      </w:r>
      <w:r w:rsidRPr="0069444C">
        <w:rPr>
          <w:rFonts w:ascii="Arial" w:hAnsi="Arial" w:cs="Arial"/>
          <w:sz w:val="22"/>
          <w:szCs w:val="22"/>
        </w:rPr>
        <w:t>an 8-inch diameter plate with alternating quadrants painted black and white</w:t>
      </w:r>
      <w:r>
        <w:rPr>
          <w:rFonts w:ascii="Arial" w:hAnsi="Arial" w:cs="Arial"/>
          <w:sz w:val="22"/>
          <w:szCs w:val="22"/>
        </w:rPr>
        <w:t xml:space="preserve">. The observer lowers the disk </w:t>
      </w:r>
      <w:r w:rsidRPr="0069444C">
        <w:rPr>
          <w:rFonts w:ascii="Arial" w:hAnsi="Arial" w:cs="Arial"/>
          <w:sz w:val="22"/>
          <w:szCs w:val="22"/>
        </w:rPr>
        <w:t>into water until it disappears from view</w:t>
      </w:r>
      <w:r>
        <w:rPr>
          <w:rFonts w:ascii="Arial" w:hAnsi="Arial" w:cs="Arial"/>
          <w:sz w:val="22"/>
          <w:szCs w:val="22"/>
        </w:rPr>
        <w:t xml:space="preserve"> and then raises it</w:t>
      </w:r>
      <w:r w:rsidRPr="0069444C">
        <w:rPr>
          <w:rFonts w:ascii="Arial" w:hAnsi="Arial" w:cs="Arial"/>
          <w:sz w:val="22"/>
          <w:szCs w:val="22"/>
        </w:rPr>
        <w:t xml:space="preserve"> until </w:t>
      </w:r>
      <w:r>
        <w:rPr>
          <w:rFonts w:ascii="Arial" w:hAnsi="Arial" w:cs="Arial"/>
          <w:sz w:val="22"/>
          <w:szCs w:val="22"/>
        </w:rPr>
        <w:t>it becomes</w:t>
      </w:r>
      <w:r w:rsidRPr="0069444C">
        <w:rPr>
          <w:rFonts w:ascii="Arial" w:hAnsi="Arial" w:cs="Arial"/>
          <w:sz w:val="22"/>
          <w:szCs w:val="22"/>
        </w:rPr>
        <w:t xml:space="preserve"> just visible. An average of the two depths, taken from the shaded side of the boat, is recorded as the Secchi disc reading</w:t>
      </w:r>
      <w:bookmarkEnd w:id="26"/>
      <w:r w:rsidRPr="0069444C">
        <w:rPr>
          <w:rFonts w:ascii="Arial" w:hAnsi="Arial" w:cs="Arial"/>
          <w:sz w:val="22"/>
          <w:szCs w:val="22"/>
        </w:rPr>
        <w:t>.  Nearly all Secchi disc measurements on Michigan inland lakes will be between one and forty feet</w:t>
      </w:r>
      <w:r>
        <w:rPr>
          <w:rFonts w:ascii="Arial" w:hAnsi="Arial" w:cs="Arial"/>
          <w:sz w:val="22"/>
          <w:szCs w:val="22"/>
        </w:rPr>
        <w:t>, and this score is also an indicator of nutrient levels in the lake.</w:t>
      </w:r>
      <w:r w:rsidRPr="0069444C">
        <w:rPr>
          <w:rFonts w:ascii="Arial" w:hAnsi="Arial" w:cs="Arial"/>
          <w:sz w:val="22"/>
          <w:szCs w:val="22"/>
        </w:rPr>
        <w:t xml:space="preserve"> </w:t>
      </w:r>
      <w:r>
        <w:rPr>
          <w:rFonts w:ascii="Arial" w:hAnsi="Arial" w:cs="Arial"/>
          <w:sz w:val="22"/>
          <w:szCs w:val="22"/>
        </w:rPr>
        <w:t>EGLE</w:t>
      </w:r>
      <w:r w:rsidRPr="0069444C">
        <w:rPr>
          <w:rFonts w:ascii="Arial" w:hAnsi="Arial" w:cs="Arial"/>
          <w:sz w:val="22"/>
          <w:szCs w:val="22"/>
        </w:rPr>
        <w:t xml:space="preserve"> classifies Secchi disk readings greater than 16 feet as indicative of oligotrophic (</w:t>
      </w:r>
      <w:r>
        <w:rPr>
          <w:rFonts w:ascii="Arial" w:hAnsi="Arial" w:cs="Arial"/>
          <w:sz w:val="22"/>
          <w:szCs w:val="22"/>
        </w:rPr>
        <w:t xml:space="preserve">low </w:t>
      </w:r>
      <w:r w:rsidRPr="0069444C">
        <w:rPr>
          <w:rFonts w:ascii="Arial" w:hAnsi="Arial" w:cs="Arial"/>
          <w:sz w:val="22"/>
          <w:szCs w:val="22"/>
        </w:rPr>
        <w:t xml:space="preserve">nutrient) conditions.  Secchi disk readings between 6.5 and 16 feet indicate mesotrophic conditions, and Secchi disk readings less than 6.5 feet indicate eutrophic </w:t>
      </w:r>
      <w:r>
        <w:rPr>
          <w:rFonts w:ascii="Arial" w:hAnsi="Arial" w:cs="Arial"/>
          <w:sz w:val="22"/>
          <w:szCs w:val="22"/>
        </w:rPr>
        <w:t xml:space="preserve">(high nutrient) </w:t>
      </w:r>
      <w:r w:rsidRPr="0069444C">
        <w:rPr>
          <w:rFonts w:ascii="Arial" w:hAnsi="Arial" w:cs="Arial"/>
          <w:sz w:val="22"/>
          <w:szCs w:val="22"/>
        </w:rPr>
        <w:t>or hypereutrophic conditions.</w:t>
      </w:r>
      <w:r>
        <w:rPr>
          <w:rStyle w:val="EndnoteReference"/>
          <w:rFonts w:ascii="Arial" w:hAnsi="Arial" w:cs="Arial"/>
          <w:sz w:val="22"/>
          <w:szCs w:val="22"/>
        </w:rPr>
        <w:endnoteReference w:id="22"/>
      </w:r>
      <w:r w:rsidRPr="0069444C">
        <w:rPr>
          <w:rFonts w:ascii="Arial" w:hAnsi="Arial" w:cs="Arial"/>
          <w:sz w:val="22"/>
          <w:szCs w:val="22"/>
          <w:vertAlign w:val="superscript"/>
        </w:rPr>
        <w:t xml:space="preserve">  </w:t>
      </w:r>
    </w:p>
    <w:p w14:paraId="009E3160" w14:textId="77777777" w:rsidR="008B4D33" w:rsidRPr="00D45CB3" w:rsidRDefault="008B4D33" w:rsidP="006E5D33">
      <w:pPr>
        <w:rPr>
          <w:rFonts w:ascii="Arial" w:hAnsi="Arial" w:cs="Arial"/>
          <w:color w:val="FF0000"/>
          <w:sz w:val="22"/>
          <w:szCs w:val="22"/>
        </w:rPr>
      </w:pPr>
    </w:p>
    <w:p w14:paraId="4FD8DE7B" w14:textId="77777777" w:rsidR="008B4D33" w:rsidRPr="008A3762" w:rsidRDefault="008B4D33" w:rsidP="00A0673D">
      <w:pPr>
        <w:pStyle w:val="WMP-header4"/>
        <w:outlineLvl w:val="3"/>
        <w:rPr>
          <w:u w:val="single"/>
        </w:rPr>
      </w:pPr>
      <w:bookmarkStart w:id="27" w:name="_Toc111629331"/>
      <w:r w:rsidRPr="001F5ED3">
        <w:t>2.3.1.</w:t>
      </w:r>
      <w:r>
        <w:t>8</w:t>
      </w:r>
      <w:r w:rsidRPr="001F5ED3">
        <w:t xml:space="preserve"> </w:t>
      </w:r>
      <w:r w:rsidRPr="00D32660">
        <w:t>Temperature</w:t>
      </w:r>
      <w:bookmarkEnd w:id="27"/>
    </w:p>
    <w:p w14:paraId="4DDBEDC6" w14:textId="64478B5D" w:rsidR="008B4D33" w:rsidRPr="00360C61" w:rsidRDefault="008B4D33" w:rsidP="006E5D33">
      <w:pPr>
        <w:rPr>
          <w:rFonts w:ascii="Arial" w:hAnsi="Arial" w:cs="Arial"/>
          <w:sz w:val="22"/>
          <w:szCs w:val="22"/>
        </w:rPr>
      </w:pPr>
      <w:r w:rsidRPr="00360C61">
        <w:rPr>
          <w:rFonts w:ascii="Arial" w:hAnsi="Arial" w:cs="Arial"/>
          <w:sz w:val="22"/>
          <w:szCs w:val="22"/>
        </w:rPr>
        <w:t>Water temperature directly affects many physical, biological, and chemical characteristics of a river. Temperature affects the amount of oxygen that can be dissolved in the water</w:t>
      </w:r>
      <w:r>
        <w:rPr>
          <w:rFonts w:ascii="Arial" w:hAnsi="Arial" w:cs="Arial"/>
          <w:sz w:val="22"/>
          <w:szCs w:val="22"/>
        </w:rPr>
        <w:t>,</w:t>
      </w:r>
      <w:r w:rsidRPr="00360C61">
        <w:rPr>
          <w:rFonts w:ascii="Arial" w:hAnsi="Arial" w:cs="Arial"/>
          <w:sz w:val="22"/>
          <w:szCs w:val="22"/>
        </w:rPr>
        <w:t xml:space="preserve"> the rate of photosynthesis by algae and larger aquatic plants</w:t>
      </w:r>
      <w:r>
        <w:rPr>
          <w:rFonts w:ascii="Arial" w:hAnsi="Arial" w:cs="Arial"/>
          <w:sz w:val="22"/>
          <w:szCs w:val="22"/>
        </w:rPr>
        <w:t>,</w:t>
      </w:r>
      <w:r w:rsidRPr="00360C61">
        <w:rPr>
          <w:rFonts w:ascii="Arial" w:hAnsi="Arial" w:cs="Arial"/>
          <w:sz w:val="22"/>
          <w:szCs w:val="22"/>
        </w:rPr>
        <w:t xml:space="preserve"> the metabolic rates of aquatic organisms</w:t>
      </w:r>
      <w:r>
        <w:rPr>
          <w:rFonts w:ascii="Arial" w:hAnsi="Arial" w:cs="Arial"/>
          <w:sz w:val="22"/>
          <w:szCs w:val="22"/>
        </w:rPr>
        <w:t>,</w:t>
      </w:r>
      <w:r w:rsidRPr="00360C61">
        <w:rPr>
          <w:rFonts w:ascii="Arial" w:hAnsi="Arial" w:cs="Arial"/>
          <w:sz w:val="22"/>
          <w:szCs w:val="22"/>
        </w:rPr>
        <w:t xml:space="preserve"> and the sensitivity of organisms to toxic wastes, parasites, and diseases. These factors limit the type of macroinvertebrate and fish communities that can live in a stream.  </w:t>
      </w:r>
    </w:p>
    <w:p w14:paraId="093DA91D" w14:textId="77777777" w:rsidR="008B4D33" w:rsidRPr="00360C61" w:rsidRDefault="008B4D33" w:rsidP="006E5D33">
      <w:pPr>
        <w:rPr>
          <w:rFonts w:ascii="Arial" w:hAnsi="Arial" w:cs="Arial"/>
          <w:sz w:val="22"/>
          <w:szCs w:val="22"/>
        </w:rPr>
      </w:pPr>
    </w:p>
    <w:p w14:paraId="1D8D6B65" w14:textId="65B142C1" w:rsidR="008B4D33" w:rsidRPr="00360C61" w:rsidRDefault="008B4D33" w:rsidP="006E5D33">
      <w:pPr>
        <w:rPr>
          <w:rFonts w:ascii="Arial" w:hAnsi="Arial" w:cs="Arial"/>
          <w:sz w:val="22"/>
          <w:szCs w:val="22"/>
        </w:rPr>
      </w:pPr>
      <w:r w:rsidRPr="00360C61">
        <w:rPr>
          <w:rFonts w:ascii="Arial" w:hAnsi="Arial" w:cs="Arial"/>
          <w:sz w:val="22"/>
          <w:szCs w:val="22"/>
        </w:rPr>
        <w:t xml:space="preserve">An average summer temperature of about 72º F is the warmest water that will support </w:t>
      </w:r>
      <w:proofErr w:type="spellStart"/>
      <w:r w:rsidRPr="00360C61">
        <w:rPr>
          <w:rFonts w:ascii="Arial" w:hAnsi="Arial" w:cs="Arial"/>
          <w:sz w:val="22"/>
          <w:szCs w:val="22"/>
        </w:rPr>
        <w:t>coldwater</w:t>
      </w:r>
      <w:proofErr w:type="spellEnd"/>
      <w:r w:rsidRPr="00360C61">
        <w:rPr>
          <w:rFonts w:ascii="Arial" w:hAnsi="Arial" w:cs="Arial"/>
          <w:sz w:val="22"/>
          <w:szCs w:val="22"/>
        </w:rPr>
        <w:t xml:space="preserve"> fish, such as sculpin and trout. Fish that can survive in warmer waters up to 77º F include smallmouth bass, rock</w:t>
      </w:r>
      <w:r>
        <w:rPr>
          <w:rFonts w:ascii="Arial" w:hAnsi="Arial" w:cs="Arial"/>
          <w:sz w:val="22"/>
          <w:szCs w:val="22"/>
        </w:rPr>
        <w:t xml:space="preserve"> </w:t>
      </w:r>
      <w:r w:rsidRPr="00360C61">
        <w:rPr>
          <w:rFonts w:ascii="Arial" w:hAnsi="Arial" w:cs="Arial"/>
          <w:sz w:val="22"/>
          <w:szCs w:val="22"/>
        </w:rPr>
        <w:t>bass, sunfish, carp, catfish, suckers, and mudminnows.  Average summer temperatures above 77º F exclude many fish and cool water insects</w:t>
      </w:r>
      <w:r w:rsidRPr="00360C61">
        <w:rPr>
          <w:rFonts w:ascii="Arial" w:hAnsi="Arial" w:cs="Arial"/>
          <w:sz w:val="22"/>
          <w:szCs w:val="22"/>
          <w:vertAlign w:val="superscript"/>
        </w:rPr>
        <w:endnoteReference w:id="23"/>
      </w:r>
      <w:r w:rsidRPr="00360C61">
        <w:rPr>
          <w:rFonts w:ascii="Arial" w:hAnsi="Arial" w:cs="Arial"/>
          <w:sz w:val="22"/>
          <w:szCs w:val="22"/>
        </w:rPr>
        <w:t>. Fluctuations in temperature also affect biodiversity. Extreme fluctuation in summer temperature, as defined by a difference of more than 18º F between the average maximum and average minimum stream temperature, have been found to decrease fish diversity at warm sites.</w:t>
      </w:r>
      <w:r w:rsidRPr="00360C61">
        <w:rPr>
          <w:rFonts w:ascii="Arial" w:hAnsi="Arial" w:cs="Arial"/>
          <w:sz w:val="22"/>
          <w:szCs w:val="22"/>
          <w:vertAlign w:val="superscript"/>
        </w:rPr>
        <w:endnoteReference w:id="24"/>
      </w:r>
    </w:p>
    <w:p w14:paraId="555DBB76" w14:textId="77777777" w:rsidR="008B4D33" w:rsidRPr="00360C61" w:rsidRDefault="008B4D33" w:rsidP="006E5D33">
      <w:pPr>
        <w:rPr>
          <w:rFonts w:ascii="Arial" w:hAnsi="Arial" w:cs="Arial"/>
          <w:sz w:val="22"/>
          <w:szCs w:val="22"/>
        </w:rPr>
      </w:pPr>
    </w:p>
    <w:p w14:paraId="07ED796F" w14:textId="77777777" w:rsidR="008B4D33" w:rsidRPr="00C40AE3" w:rsidRDefault="008B4D33" w:rsidP="006E5D33">
      <w:pPr>
        <w:rPr>
          <w:rFonts w:ascii="Arial" w:hAnsi="Arial" w:cs="Arial"/>
          <w:sz w:val="22"/>
          <w:szCs w:val="22"/>
        </w:rPr>
      </w:pPr>
      <w:r w:rsidRPr="00360C61">
        <w:rPr>
          <w:rFonts w:ascii="Arial" w:hAnsi="Arial" w:cs="Arial"/>
          <w:sz w:val="22"/>
          <w:szCs w:val="22"/>
        </w:rPr>
        <w:t>Thermal pollution</w:t>
      </w:r>
      <w:r>
        <w:rPr>
          <w:rFonts w:ascii="Arial" w:hAnsi="Arial" w:cs="Arial"/>
          <w:sz w:val="22"/>
          <w:szCs w:val="22"/>
        </w:rPr>
        <w:t>—the</w:t>
      </w:r>
      <w:r w:rsidRPr="00360C61">
        <w:rPr>
          <w:rFonts w:ascii="Arial" w:hAnsi="Arial" w:cs="Arial"/>
          <w:sz w:val="22"/>
          <w:szCs w:val="22"/>
        </w:rPr>
        <w:t xml:space="preserve"> discharge of heated water from industrial operations, dams, or stormwater runoff from hot pavement and other impervious surfaces</w:t>
      </w:r>
      <w:r>
        <w:rPr>
          <w:rFonts w:ascii="Arial" w:hAnsi="Arial" w:cs="Arial"/>
          <w:sz w:val="22"/>
          <w:szCs w:val="22"/>
        </w:rPr>
        <w:t>—</w:t>
      </w:r>
      <w:r w:rsidRPr="00360C61">
        <w:rPr>
          <w:rFonts w:ascii="Arial" w:hAnsi="Arial" w:cs="Arial"/>
          <w:sz w:val="22"/>
          <w:szCs w:val="22"/>
        </w:rPr>
        <w:t>often cause</w:t>
      </w:r>
      <w:r>
        <w:rPr>
          <w:rFonts w:ascii="Arial" w:hAnsi="Arial" w:cs="Arial"/>
          <w:sz w:val="22"/>
          <w:szCs w:val="22"/>
        </w:rPr>
        <w:t>s</w:t>
      </w:r>
      <w:r w:rsidRPr="00360C61">
        <w:rPr>
          <w:rFonts w:ascii="Arial" w:hAnsi="Arial" w:cs="Arial"/>
          <w:sz w:val="22"/>
          <w:szCs w:val="22"/>
        </w:rPr>
        <w:t xml:space="preserve"> an increase in stream temperature.  The Michigan Water Quality Standards specify that the Great Lakes and connecting waters and inland lakes shall not receive a heat load that increases the temperature of the receiving water more than 3º F above the existing natural water temperature (after mixing with the receiving water). Rivers, </w:t>
      </w:r>
      <w:proofErr w:type="gramStart"/>
      <w:r w:rsidRPr="00360C61">
        <w:rPr>
          <w:rFonts w:ascii="Arial" w:hAnsi="Arial" w:cs="Arial"/>
          <w:sz w:val="22"/>
          <w:szCs w:val="22"/>
        </w:rPr>
        <w:t>streams</w:t>
      </w:r>
      <w:proofErr w:type="gramEnd"/>
      <w:r w:rsidRPr="00360C61">
        <w:rPr>
          <w:rFonts w:ascii="Arial" w:hAnsi="Arial" w:cs="Arial"/>
          <w:sz w:val="22"/>
          <w:szCs w:val="22"/>
        </w:rPr>
        <w:t xml:space="preserve"> and </w:t>
      </w:r>
      <w:r w:rsidRPr="00360C61">
        <w:rPr>
          <w:rFonts w:ascii="Arial" w:hAnsi="Arial" w:cs="Arial"/>
          <w:sz w:val="22"/>
          <w:szCs w:val="22"/>
        </w:rPr>
        <w:lastRenderedPageBreak/>
        <w:t>impoundments shall not receive a heat load that increases the temperature of the receiving water more than 5º F for warmwater fisheries. These waters shall not receive a heat load that increases the temperature of the receiving water above monthly maximum temperatures (after mixing).</w:t>
      </w:r>
      <w:r w:rsidRPr="00360C61">
        <w:rPr>
          <w:rFonts w:ascii="Arial" w:hAnsi="Arial" w:cs="Arial"/>
          <w:sz w:val="22"/>
          <w:szCs w:val="22"/>
          <w:vertAlign w:val="superscript"/>
        </w:rPr>
        <w:endnoteReference w:id="25"/>
      </w:r>
      <w:r w:rsidRPr="00C40AE3">
        <w:rPr>
          <w:rFonts w:ascii="Arial" w:hAnsi="Arial" w:cs="Arial"/>
          <w:sz w:val="22"/>
          <w:szCs w:val="22"/>
        </w:rPr>
        <w:t xml:space="preserve"> </w:t>
      </w:r>
    </w:p>
    <w:p w14:paraId="3C584974" w14:textId="77777777" w:rsidR="008B4D33" w:rsidRDefault="008B4D33" w:rsidP="006E5D33">
      <w:pPr>
        <w:rPr>
          <w:rFonts w:ascii="Arial" w:hAnsi="Arial" w:cs="Arial"/>
          <w:sz w:val="22"/>
          <w:szCs w:val="22"/>
        </w:rPr>
      </w:pPr>
    </w:p>
    <w:p w14:paraId="2206AE79" w14:textId="7D0F1632" w:rsidR="008B4D33" w:rsidRPr="006C27CD" w:rsidRDefault="008B4D33" w:rsidP="006E5D33">
      <w:pPr>
        <w:rPr>
          <w:rFonts w:ascii="Arial" w:hAnsi="Arial" w:cs="Arial"/>
          <w:sz w:val="22"/>
          <w:szCs w:val="22"/>
        </w:rPr>
      </w:pPr>
      <w:r w:rsidRPr="006C27CD">
        <w:rPr>
          <w:rFonts w:ascii="Arial" w:hAnsi="Arial" w:cs="Arial"/>
          <w:sz w:val="22"/>
          <w:szCs w:val="22"/>
        </w:rPr>
        <w:t>All waters in the Watershed are warmwater fish streams.</w:t>
      </w:r>
      <w:r>
        <w:rPr>
          <w:rFonts w:ascii="Arial" w:hAnsi="Arial" w:cs="Arial"/>
          <w:sz w:val="22"/>
          <w:szCs w:val="22"/>
        </w:rPr>
        <w:t xml:space="preserve"> </w:t>
      </w:r>
      <w:r w:rsidRPr="006C27CD">
        <w:rPr>
          <w:rFonts w:ascii="Arial" w:hAnsi="Arial" w:cs="Arial"/>
          <w:sz w:val="22"/>
          <w:szCs w:val="22"/>
        </w:rPr>
        <w:t xml:space="preserve">However, </w:t>
      </w:r>
      <w:proofErr w:type="spellStart"/>
      <w:r w:rsidRPr="006C27CD">
        <w:rPr>
          <w:rFonts w:ascii="Arial" w:hAnsi="Arial" w:cs="Arial"/>
          <w:sz w:val="22"/>
          <w:szCs w:val="22"/>
        </w:rPr>
        <w:t>coldwater</w:t>
      </w:r>
      <w:proofErr w:type="spellEnd"/>
      <w:r w:rsidRPr="006C27CD">
        <w:rPr>
          <w:rFonts w:ascii="Arial" w:hAnsi="Arial" w:cs="Arial"/>
          <w:sz w:val="22"/>
          <w:szCs w:val="22"/>
        </w:rPr>
        <w:t xml:space="preserve"> fish species are found occasionally in the Watershed, and the presence of EPT </w:t>
      </w:r>
      <w:r>
        <w:rPr>
          <w:rFonts w:ascii="Arial" w:hAnsi="Arial" w:cs="Arial"/>
          <w:sz w:val="22"/>
          <w:szCs w:val="22"/>
        </w:rPr>
        <w:t>(Ephemeroptera-</w:t>
      </w:r>
      <w:proofErr w:type="spellStart"/>
      <w:r>
        <w:rPr>
          <w:rFonts w:ascii="Arial" w:hAnsi="Arial" w:cs="Arial"/>
          <w:sz w:val="22"/>
          <w:szCs w:val="22"/>
        </w:rPr>
        <w:t>Plecoptera</w:t>
      </w:r>
      <w:proofErr w:type="spellEnd"/>
      <w:r>
        <w:rPr>
          <w:rFonts w:ascii="Arial" w:hAnsi="Arial" w:cs="Arial"/>
          <w:sz w:val="22"/>
          <w:szCs w:val="22"/>
        </w:rPr>
        <w:t>-</w:t>
      </w:r>
      <w:proofErr w:type="spellStart"/>
      <w:r>
        <w:rPr>
          <w:rFonts w:ascii="Arial" w:hAnsi="Arial" w:cs="Arial"/>
          <w:sz w:val="22"/>
          <w:szCs w:val="22"/>
        </w:rPr>
        <w:t>Trichoptera</w:t>
      </w:r>
      <w:proofErr w:type="spellEnd"/>
      <w:r>
        <w:rPr>
          <w:rFonts w:ascii="Arial" w:hAnsi="Arial" w:cs="Arial"/>
          <w:sz w:val="22"/>
          <w:szCs w:val="22"/>
        </w:rPr>
        <w:t xml:space="preserve">) </w:t>
      </w:r>
      <w:r w:rsidRPr="006C27CD">
        <w:rPr>
          <w:rFonts w:ascii="Arial" w:hAnsi="Arial" w:cs="Arial"/>
          <w:sz w:val="22"/>
          <w:szCs w:val="22"/>
        </w:rPr>
        <w:t>and sensitive aquatic insect families at</w:t>
      </w:r>
      <w:r>
        <w:rPr>
          <w:rFonts w:ascii="Arial" w:hAnsi="Arial" w:cs="Arial"/>
          <w:sz w:val="22"/>
          <w:szCs w:val="22"/>
        </w:rPr>
        <w:t xml:space="preserve"> </w:t>
      </w:r>
      <w:r w:rsidRPr="006C27CD">
        <w:rPr>
          <w:rFonts w:ascii="Arial" w:hAnsi="Arial" w:cs="Arial"/>
          <w:sz w:val="22"/>
          <w:szCs w:val="22"/>
        </w:rPr>
        <w:t>monitoring sites is an indication of adequately cool stream temperatures.</w:t>
      </w:r>
      <w:r>
        <w:rPr>
          <w:rFonts w:ascii="Arial" w:hAnsi="Arial" w:cs="Arial"/>
          <w:sz w:val="22"/>
          <w:szCs w:val="22"/>
        </w:rPr>
        <w:t xml:space="preserve"> Sun exposure on impoundments, l</w:t>
      </w:r>
      <w:r w:rsidRPr="006C27CD">
        <w:rPr>
          <w:rFonts w:ascii="Arial" w:hAnsi="Arial" w:cs="Arial"/>
          <w:sz w:val="22"/>
          <w:szCs w:val="22"/>
        </w:rPr>
        <w:t>ow flows below impoundments, removal of streambank vegetation, and inputs of stormwater runoff (which are typically substantially warmer than base stream flows) are all potential contributing factors to elevated water temperatures.</w:t>
      </w:r>
    </w:p>
    <w:p w14:paraId="75602ECC" w14:textId="77777777" w:rsidR="008B4D33" w:rsidRPr="00360C61" w:rsidRDefault="008B4D33" w:rsidP="006E5D33">
      <w:pPr>
        <w:rPr>
          <w:rFonts w:ascii="Arial" w:hAnsi="Arial" w:cs="Arial"/>
          <w:sz w:val="22"/>
          <w:szCs w:val="22"/>
        </w:rPr>
      </w:pPr>
    </w:p>
    <w:p w14:paraId="05F035F5" w14:textId="77777777" w:rsidR="008B4D33" w:rsidRPr="00965948" w:rsidRDefault="008B4D33" w:rsidP="006E5D33">
      <w:pPr>
        <w:rPr>
          <w:rFonts w:ascii="Arial" w:hAnsi="Arial" w:cs="Arial"/>
          <w:sz w:val="22"/>
          <w:szCs w:val="22"/>
        </w:rPr>
      </w:pPr>
    </w:p>
    <w:p w14:paraId="6B52B691" w14:textId="77777777" w:rsidR="008B4D33" w:rsidRPr="008A3762" w:rsidRDefault="008B4D33" w:rsidP="00A0673D">
      <w:pPr>
        <w:pStyle w:val="WMP-header4"/>
        <w:outlineLvl w:val="3"/>
        <w:rPr>
          <w:u w:val="single"/>
        </w:rPr>
      </w:pPr>
      <w:bookmarkStart w:id="28" w:name="_Toc111629332"/>
      <w:r w:rsidRPr="001F5ED3">
        <w:t>2.3.1.</w:t>
      </w:r>
      <w:r>
        <w:t>9</w:t>
      </w:r>
      <w:r w:rsidRPr="001F5ED3">
        <w:t xml:space="preserve"> </w:t>
      </w:r>
      <w:r w:rsidRPr="00D32660">
        <w:t>Dissolved Oxygen</w:t>
      </w:r>
      <w:bookmarkEnd w:id="28"/>
    </w:p>
    <w:p w14:paraId="5F32CC37" w14:textId="77777777" w:rsidR="008B4D33" w:rsidRPr="00965948" w:rsidRDefault="008B4D33" w:rsidP="006E5D33">
      <w:pPr>
        <w:rPr>
          <w:rFonts w:ascii="Arial" w:hAnsi="Arial" w:cs="Arial"/>
          <w:sz w:val="22"/>
          <w:szCs w:val="22"/>
        </w:rPr>
      </w:pPr>
      <w:r w:rsidRPr="00965948">
        <w:rPr>
          <w:rFonts w:ascii="Arial" w:hAnsi="Arial" w:cs="Arial"/>
          <w:sz w:val="22"/>
          <w:szCs w:val="22"/>
        </w:rPr>
        <w:t>Dissolved oxygen (DO) refers to the volume of oxygen that is contained in water.</w:t>
      </w:r>
    </w:p>
    <w:p w14:paraId="3AD1376B" w14:textId="77777777" w:rsidR="008B4D33" w:rsidRPr="00965948" w:rsidRDefault="008B4D33" w:rsidP="006E5D33">
      <w:pPr>
        <w:rPr>
          <w:rFonts w:ascii="Arial" w:hAnsi="Arial" w:cs="Arial"/>
          <w:sz w:val="22"/>
          <w:szCs w:val="22"/>
        </w:rPr>
      </w:pPr>
      <w:r w:rsidRPr="00965948">
        <w:rPr>
          <w:rFonts w:ascii="Arial" w:hAnsi="Arial" w:cs="Arial"/>
          <w:sz w:val="22"/>
          <w:szCs w:val="22"/>
        </w:rPr>
        <w:t>DO is essential for fish and is an important component in the respiration of aerobic plants and animals, photosynthesis, oxidation-reduction processes, solubility of minerals, and decomposition of organic matter. Aquatic plants, algae and phytoplankton produce oxygen as a by-product of photosynthesis. Oxygen also dissolves rapidly into water from the atmosphere until the water is saturated. Dissolved oxygen diffuses very slowly and depends on the movement of aerated water. DO levels fluctuate on a diurnal basis. They rise from morning through late afternoon as a result of photosynthesis, reach a peak in late afternoon, then drop through the night as a result of photosynthesis stopping while plants and animals continue to respire and consume oxygen. DO levels fall to a low point just before dawn.</w:t>
      </w:r>
    </w:p>
    <w:p w14:paraId="0747CAC2" w14:textId="77777777" w:rsidR="008B4D33" w:rsidRPr="00965948" w:rsidRDefault="008B4D33" w:rsidP="006E5D33">
      <w:pPr>
        <w:rPr>
          <w:rFonts w:ascii="Arial" w:hAnsi="Arial" w:cs="Arial"/>
          <w:sz w:val="22"/>
          <w:szCs w:val="22"/>
        </w:rPr>
      </w:pPr>
    </w:p>
    <w:p w14:paraId="683A2182" w14:textId="77777777" w:rsidR="008B4D33" w:rsidRDefault="008B4D33" w:rsidP="006E5D33">
      <w:pPr>
        <w:rPr>
          <w:rFonts w:ascii="Arial" w:hAnsi="Arial" w:cs="Arial"/>
          <w:sz w:val="22"/>
          <w:szCs w:val="22"/>
        </w:rPr>
      </w:pPr>
      <w:r w:rsidRPr="00965948">
        <w:rPr>
          <w:rFonts w:ascii="Arial" w:hAnsi="Arial" w:cs="Arial"/>
          <w:sz w:val="22"/>
          <w:szCs w:val="22"/>
        </w:rPr>
        <w:t xml:space="preserve">The amount of oxygen an organism requires varies according to species and stage of life. DO levels below 1-2 mg/L do not support fish. DO levels below 3 mg/L are stressful to most aquatic organisms. Minimal DO levels of 5-6 mg/L </w:t>
      </w:r>
      <w:proofErr w:type="gramStart"/>
      <w:r w:rsidRPr="00965948">
        <w:rPr>
          <w:rFonts w:ascii="Arial" w:hAnsi="Arial" w:cs="Arial"/>
          <w:sz w:val="22"/>
          <w:szCs w:val="22"/>
        </w:rPr>
        <w:t>usually are</w:t>
      </w:r>
      <w:proofErr w:type="gramEnd"/>
      <w:r w:rsidRPr="00965948">
        <w:rPr>
          <w:rFonts w:ascii="Arial" w:hAnsi="Arial" w:cs="Arial"/>
          <w:sz w:val="22"/>
          <w:szCs w:val="22"/>
        </w:rPr>
        <w:t xml:space="preserve"> required for growth and activity. Low DO levels encourage the growth of anaerobic organisms and nuisance algae. </w:t>
      </w:r>
      <w:r>
        <w:rPr>
          <w:rFonts w:ascii="Arial" w:hAnsi="Arial" w:cs="Arial"/>
          <w:sz w:val="22"/>
          <w:szCs w:val="22"/>
        </w:rPr>
        <w:t xml:space="preserve">Cold water species like trout need between 9-12 mg/L, depending on the species. </w:t>
      </w:r>
      <w:r w:rsidRPr="00965948">
        <w:rPr>
          <w:rFonts w:ascii="Arial" w:hAnsi="Arial" w:cs="Arial"/>
          <w:sz w:val="22"/>
          <w:szCs w:val="22"/>
        </w:rPr>
        <w:t xml:space="preserve">The accumulation of organic </w:t>
      </w:r>
      <w:proofErr w:type="gramStart"/>
      <w:r w:rsidRPr="00965948">
        <w:rPr>
          <w:rFonts w:ascii="Arial" w:hAnsi="Arial" w:cs="Arial"/>
          <w:sz w:val="22"/>
          <w:szCs w:val="22"/>
        </w:rPr>
        <w:t>wastes</w:t>
      </w:r>
      <w:proofErr w:type="gramEnd"/>
      <w:r w:rsidRPr="00965948">
        <w:rPr>
          <w:rFonts w:ascii="Arial" w:hAnsi="Arial" w:cs="Arial"/>
          <w:sz w:val="22"/>
          <w:szCs w:val="22"/>
        </w:rPr>
        <w:t xml:space="preserve"> and accompanying aerobic respiration by microorganisms as they consume the waste depletes DO in freshwater systems.  High levels of bacteria from sewage pollution and high levels of organic matter can lead to low DO levels. Michigan Water Quality Standards states that surface waters protected for warmwater fish and aquatic life must meet a minimum dissolved oxygen standard of 5 mg/l.</w:t>
      </w:r>
      <w:r w:rsidRPr="00965948">
        <w:rPr>
          <w:rFonts w:ascii="Arial" w:hAnsi="Arial" w:cs="Arial"/>
          <w:sz w:val="22"/>
          <w:szCs w:val="22"/>
          <w:vertAlign w:val="superscript"/>
        </w:rPr>
        <w:endnoteReference w:id="26"/>
      </w:r>
    </w:p>
    <w:p w14:paraId="19245870" w14:textId="77777777" w:rsidR="008B4D33" w:rsidRDefault="008B4D33" w:rsidP="006E5D33">
      <w:pPr>
        <w:rPr>
          <w:rFonts w:ascii="Arial" w:hAnsi="Arial" w:cs="Arial"/>
          <w:sz w:val="22"/>
          <w:szCs w:val="22"/>
        </w:rPr>
      </w:pPr>
    </w:p>
    <w:p w14:paraId="3F3FFDE3" w14:textId="7D154258" w:rsidR="008B4D33" w:rsidRDefault="008B4D33" w:rsidP="00C605F4">
      <w:pPr>
        <w:pStyle w:val="WMP-header3"/>
        <w:outlineLvl w:val="2"/>
      </w:pPr>
      <w:bookmarkStart w:id="29" w:name="_Toc111629333"/>
      <w:r>
        <w:t>2.3.2 Biological Parameters</w:t>
      </w:r>
      <w:bookmarkEnd w:id="29"/>
    </w:p>
    <w:p w14:paraId="13701D84" w14:textId="77777777" w:rsidR="008B4D33" w:rsidRDefault="008B4D33" w:rsidP="00EF4142">
      <w:pPr>
        <w:pStyle w:val="WMP-header4"/>
      </w:pPr>
    </w:p>
    <w:p w14:paraId="10FFB1EE" w14:textId="76A551CC" w:rsidR="008B4D33" w:rsidRPr="008A3762" w:rsidRDefault="008B4D33" w:rsidP="00A0673D">
      <w:pPr>
        <w:pStyle w:val="WMP-header4"/>
        <w:outlineLvl w:val="3"/>
        <w:rPr>
          <w:u w:val="single"/>
        </w:rPr>
      </w:pPr>
      <w:bookmarkStart w:id="30" w:name="_Toc111629334"/>
      <w:r w:rsidRPr="001F5ED3">
        <w:t>2.3.</w:t>
      </w:r>
      <w:r>
        <w:t>2</w:t>
      </w:r>
      <w:r w:rsidRPr="001F5ED3">
        <w:t>.</w:t>
      </w:r>
      <w:r>
        <w:t>1</w:t>
      </w:r>
      <w:r w:rsidRPr="00F804DF">
        <w:t xml:space="preserve"> Bacteria</w:t>
      </w:r>
      <w:bookmarkEnd w:id="30"/>
    </w:p>
    <w:p w14:paraId="3C59BF2B" w14:textId="77777777" w:rsidR="008B4D33" w:rsidRPr="00BA4FCC" w:rsidRDefault="008B4D33" w:rsidP="006E5D33">
      <w:pPr>
        <w:rPr>
          <w:rFonts w:ascii="Arial" w:hAnsi="Arial" w:cs="Arial"/>
          <w:sz w:val="22"/>
          <w:szCs w:val="22"/>
        </w:rPr>
      </w:pPr>
      <w:r w:rsidRPr="00AC12CE">
        <w:rPr>
          <w:rFonts w:ascii="Arial" w:hAnsi="Arial" w:cs="Arial"/>
          <w:sz w:val="22"/>
          <w:szCs w:val="22"/>
        </w:rPr>
        <w:t xml:space="preserve">Bacteria are microorganisms that are found everywhere. Coliform </w:t>
      </w:r>
      <w:r>
        <w:rPr>
          <w:rFonts w:ascii="Arial" w:hAnsi="Arial" w:cs="Arial"/>
          <w:sz w:val="22"/>
          <w:szCs w:val="22"/>
        </w:rPr>
        <w:t>is</w:t>
      </w:r>
      <w:r w:rsidRPr="00AC12CE">
        <w:rPr>
          <w:rFonts w:ascii="Arial" w:hAnsi="Arial" w:cs="Arial"/>
          <w:sz w:val="22"/>
          <w:szCs w:val="22"/>
        </w:rPr>
        <w:t xml:space="preserve"> a group of bacteria that includes a smaller group known as fecal coliforms, which are found in the digestive tract of warm-blooded animals. Their presence in freshwater ecosystems indicates that pollution by sewage or wastewater may have occurred and that other harmful microorganisms may be present. A species of fecal coliform known as </w:t>
      </w:r>
      <w:r w:rsidRPr="00AC12CE">
        <w:rPr>
          <w:rFonts w:ascii="Arial" w:hAnsi="Arial" w:cs="Arial"/>
          <w:i/>
          <w:iCs/>
          <w:sz w:val="22"/>
          <w:szCs w:val="22"/>
        </w:rPr>
        <w:t>Escherichia coli</w:t>
      </w:r>
      <w:r w:rsidRPr="00AC12CE">
        <w:rPr>
          <w:rFonts w:ascii="Arial" w:hAnsi="Arial" w:cs="Arial"/>
          <w:sz w:val="22"/>
          <w:szCs w:val="22"/>
        </w:rPr>
        <w:t xml:space="preserve"> or </w:t>
      </w:r>
      <w:r w:rsidRPr="00AC12CE">
        <w:rPr>
          <w:rFonts w:ascii="Arial" w:hAnsi="Arial" w:cs="Arial"/>
          <w:i/>
          <w:iCs/>
          <w:sz w:val="22"/>
          <w:szCs w:val="22"/>
        </w:rPr>
        <w:t>E. coli</w:t>
      </w:r>
      <w:r w:rsidRPr="00AC12CE">
        <w:rPr>
          <w:rFonts w:ascii="Arial" w:hAnsi="Arial" w:cs="Arial"/>
          <w:sz w:val="22"/>
          <w:szCs w:val="22"/>
        </w:rPr>
        <w:t xml:space="preserve"> is analyzed to test for contamination. </w:t>
      </w:r>
      <w:r w:rsidRPr="00BA4FCC">
        <w:rPr>
          <w:rFonts w:ascii="Arial" w:hAnsi="Arial" w:cs="Arial"/>
          <w:i/>
          <w:sz w:val="22"/>
          <w:szCs w:val="22"/>
        </w:rPr>
        <w:t>E. coli</w:t>
      </w:r>
      <w:r>
        <w:rPr>
          <w:rFonts w:ascii="Arial" w:hAnsi="Arial" w:cs="Arial"/>
          <w:i/>
          <w:sz w:val="22"/>
          <w:szCs w:val="22"/>
        </w:rPr>
        <w:t xml:space="preserve"> </w:t>
      </w:r>
      <w:r>
        <w:rPr>
          <w:rFonts w:ascii="Arial" w:hAnsi="Arial" w:cs="Arial"/>
          <w:sz w:val="22"/>
          <w:szCs w:val="22"/>
        </w:rPr>
        <w:t xml:space="preserve">counts are used as a measure of possible drinking water contamination, as high concentrations can result in serious </w:t>
      </w:r>
      <w:r>
        <w:rPr>
          <w:rFonts w:ascii="Arial" w:hAnsi="Arial" w:cs="Arial"/>
          <w:sz w:val="22"/>
          <w:szCs w:val="22"/>
        </w:rPr>
        <w:lastRenderedPageBreak/>
        <w:t xml:space="preserve">illness.  The potential sources of </w:t>
      </w:r>
      <w:r w:rsidRPr="00BA4FCC">
        <w:rPr>
          <w:rFonts w:ascii="Arial" w:hAnsi="Arial" w:cs="Arial"/>
          <w:i/>
          <w:sz w:val="22"/>
          <w:szCs w:val="22"/>
        </w:rPr>
        <w:t>E. coli</w:t>
      </w:r>
      <w:r>
        <w:rPr>
          <w:rFonts w:ascii="Arial" w:hAnsi="Arial" w:cs="Arial"/>
          <w:sz w:val="22"/>
          <w:szCs w:val="22"/>
        </w:rPr>
        <w:t xml:space="preserve"> in surface waters are varied and difficult to pinpoint.  They include human sources such as failed septic fields, but also wildlife sources such as geese and raccoons and pet or feral sources as well.</w:t>
      </w:r>
    </w:p>
    <w:p w14:paraId="5A07A7F1" w14:textId="77777777" w:rsidR="008B4D33" w:rsidRPr="00AC12CE" w:rsidRDefault="008B4D33" w:rsidP="006E5D33">
      <w:pPr>
        <w:rPr>
          <w:rFonts w:ascii="Arial" w:hAnsi="Arial" w:cs="Arial"/>
          <w:sz w:val="22"/>
          <w:szCs w:val="22"/>
        </w:rPr>
      </w:pPr>
    </w:p>
    <w:p w14:paraId="72C2A1CA" w14:textId="77777777" w:rsidR="008B4D33" w:rsidRPr="00AC12CE" w:rsidRDefault="008B4D33" w:rsidP="006E5D33">
      <w:pPr>
        <w:rPr>
          <w:rFonts w:ascii="Arial" w:hAnsi="Arial" w:cs="Arial"/>
          <w:sz w:val="22"/>
          <w:szCs w:val="22"/>
        </w:rPr>
      </w:pPr>
      <w:r w:rsidRPr="00AC12CE">
        <w:rPr>
          <w:rFonts w:ascii="Arial" w:hAnsi="Arial" w:cs="Arial"/>
          <w:sz w:val="22"/>
          <w:szCs w:val="22"/>
        </w:rPr>
        <w:t xml:space="preserve">Rule 62 of the Michigan Water Quality Standards (Part 4 of Act 451) limits the concentration of microorganisms in surface waters of the state and surface water discharges. Waters of the state that are protected for total body contact recreation must meet limits of 130 </w:t>
      </w:r>
      <w:r w:rsidRPr="00AC12CE">
        <w:rPr>
          <w:rFonts w:ascii="Arial" w:hAnsi="Arial" w:cs="Arial"/>
          <w:i/>
          <w:iCs/>
          <w:sz w:val="22"/>
          <w:szCs w:val="22"/>
        </w:rPr>
        <w:t xml:space="preserve">Escherichia coli </w:t>
      </w:r>
      <w:r w:rsidRPr="00AC12CE">
        <w:rPr>
          <w:rFonts w:ascii="Arial" w:hAnsi="Arial" w:cs="Arial"/>
          <w:sz w:val="22"/>
          <w:szCs w:val="22"/>
        </w:rPr>
        <w:t>(</w:t>
      </w:r>
      <w:r w:rsidRPr="00AC12CE">
        <w:rPr>
          <w:rFonts w:ascii="Arial" w:hAnsi="Arial" w:cs="Arial"/>
          <w:i/>
          <w:iCs/>
          <w:sz w:val="22"/>
          <w:szCs w:val="22"/>
        </w:rPr>
        <w:t>E.</w:t>
      </w:r>
      <w:r w:rsidRPr="00AC12CE">
        <w:rPr>
          <w:rFonts w:ascii="Arial" w:hAnsi="Arial" w:cs="Arial"/>
          <w:sz w:val="22"/>
          <w:szCs w:val="22"/>
        </w:rPr>
        <w:t xml:space="preserve"> </w:t>
      </w:r>
      <w:r w:rsidRPr="00AC12CE">
        <w:rPr>
          <w:rFonts w:ascii="Arial" w:hAnsi="Arial" w:cs="Arial"/>
          <w:i/>
          <w:iCs/>
          <w:sz w:val="22"/>
          <w:szCs w:val="22"/>
        </w:rPr>
        <w:t>coli</w:t>
      </w:r>
      <w:r w:rsidRPr="00AC12CE">
        <w:rPr>
          <w:rFonts w:ascii="Arial" w:hAnsi="Arial" w:cs="Arial"/>
          <w:sz w:val="22"/>
          <w:szCs w:val="22"/>
        </w:rPr>
        <w:t xml:space="preserve">) per 100 milliliters (ml) water as a monthly geometric mean of five sampling events (3 samples per event) and 300 </w:t>
      </w:r>
      <w:r w:rsidRPr="00AC12CE">
        <w:rPr>
          <w:rFonts w:ascii="Arial" w:hAnsi="Arial" w:cs="Arial"/>
          <w:i/>
          <w:iCs/>
          <w:sz w:val="22"/>
          <w:szCs w:val="22"/>
        </w:rPr>
        <w:t xml:space="preserve">E. coli </w:t>
      </w:r>
      <w:r w:rsidRPr="00AC12CE">
        <w:rPr>
          <w:rFonts w:ascii="Arial" w:hAnsi="Arial" w:cs="Arial"/>
          <w:sz w:val="22"/>
          <w:szCs w:val="22"/>
        </w:rPr>
        <w:t xml:space="preserve">per 100 ml water for any single sampling event during the May 1 through October 31 period. The limit for waters of the state that are protected for partial body contact recreation is a geometric mean of 1000 </w:t>
      </w:r>
      <w:r w:rsidRPr="00AC12CE">
        <w:rPr>
          <w:rFonts w:ascii="Arial" w:hAnsi="Arial" w:cs="Arial"/>
          <w:i/>
          <w:iCs/>
          <w:sz w:val="22"/>
          <w:szCs w:val="22"/>
        </w:rPr>
        <w:t xml:space="preserve">E. coli </w:t>
      </w:r>
      <w:r w:rsidRPr="00AC12CE">
        <w:rPr>
          <w:rFonts w:ascii="Arial" w:hAnsi="Arial" w:cs="Arial"/>
          <w:sz w:val="22"/>
          <w:szCs w:val="22"/>
        </w:rPr>
        <w:t>per 100 ml water for any single sampling event at any time of the year.</w:t>
      </w:r>
      <w:r w:rsidRPr="00AC12CE">
        <w:rPr>
          <w:rFonts w:ascii="Arial" w:hAnsi="Arial" w:cs="Arial"/>
          <w:sz w:val="22"/>
          <w:szCs w:val="22"/>
          <w:vertAlign w:val="superscript"/>
        </w:rPr>
        <w:endnoteReference w:id="27"/>
      </w:r>
      <w:r w:rsidRPr="00AC12CE">
        <w:rPr>
          <w:rFonts w:ascii="Arial" w:hAnsi="Arial" w:cs="Arial"/>
          <w:sz w:val="22"/>
          <w:szCs w:val="22"/>
        </w:rPr>
        <w:t xml:space="preserve"> </w:t>
      </w:r>
    </w:p>
    <w:p w14:paraId="2FC5A909" w14:textId="77777777" w:rsidR="008B4D33" w:rsidRDefault="008B4D33" w:rsidP="006E5D33">
      <w:pPr>
        <w:rPr>
          <w:rFonts w:ascii="Arial" w:hAnsi="Arial" w:cs="Arial"/>
          <w:sz w:val="22"/>
          <w:szCs w:val="22"/>
        </w:rPr>
      </w:pPr>
    </w:p>
    <w:p w14:paraId="4CF2926A" w14:textId="77777777" w:rsidR="008B4D33" w:rsidRPr="008A3762" w:rsidRDefault="008B4D33" w:rsidP="00A0673D">
      <w:pPr>
        <w:pStyle w:val="WMP-header4"/>
        <w:outlineLvl w:val="3"/>
        <w:rPr>
          <w:u w:val="single"/>
        </w:rPr>
      </w:pPr>
      <w:bookmarkStart w:id="31" w:name="_Toc111629335"/>
      <w:r w:rsidRPr="001F5ED3">
        <w:t>2.3.</w:t>
      </w:r>
      <w:r>
        <w:t>2</w:t>
      </w:r>
      <w:r w:rsidRPr="001F5ED3">
        <w:t>.</w:t>
      </w:r>
      <w:r w:rsidRPr="00F804DF">
        <w:t>2 Macroinvertebrates</w:t>
      </w:r>
      <w:bookmarkEnd w:id="31"/>
    </w:p>
    <w:p w14:paraId="7485DFB2" w14:textId="77777777" w:rsidR="008B4D33" w:rsidRDefault="008B4D33" w:rsidP="006E5D33">
      <w:pPr>
        <w:rPr>
          <w:rFonts w:ascii="Arial" w:hAnsi="Arial" w:cs="Arial"/>
          <w:sz w:val="22"/>
          <w:szCs w:val="22"/>
        </w:rPr>
      </w:pPr>
    </w:p>
    <w:p w14:paraId="10E7C5AD" w14:textId="70A13BF3" w:rsidR="008B4D33" w:rsidRPr="00F0669D" w:rsidRDefault="008B4D33" w:rsidP="006E5D33">
      <w:pPr>
        <w:rPr>
          <w:rFonts w:ascii="Arial" w:hAnsi="Arial" w:cs="Arial"/>
          <w:sz w:val="22"/>
          <w:szCs w:val="22"/>
        </w:rPr>
      </w:pPr>
      <w:r w:rsidRPr="00F0669D">
        <w:rPr>
          <w:rFonts w:ascii="Arial" w:hAnsi="Arial" w:cs="Arial"/>
          <w:sz w:val="22"/>
          <w:szCs w:val="22"/>
        </w:rPr>
        <w:t>Insects living in the creek compose the benthic macroinvertebrate population, along with clams</w:t>
      </w:r>
      <w:r>
        <w:rPr>
          <w:rFonts w:ascii="Arial" w:hAnsi="Arial" w:cs="Arial"/>
          <w:sz w:val="22"/>
          <w:szCs w:val="22"/>
        </w:rPr>
        <w:t xml:space="preserve"> and other mollusks,</w:t>
      </w:r>
      <w:r w:rsidRPr="00F0669D">
        <w:rPr>
          <w:rFonts w:ascii="Arial" w:hAnsi="Arial" w:cs="Arial"/>
          <w:sz w:val="22"/>
          <w:szCs w:val="22"/>
        </w:rPr>
        <w:t xml:space="preserve"> crayfish</w:t>
      </w:r>
      <w:r>
        <w:rPr>
          <w:rFonts w:ascii="Arial" w:hAnsi="Arial" w:cs="Arial"/>
          <w:sz w:val="22"/>
          <w:szCs w:val="22"/>
        </w:rPr>
        <w:t>, and other taxa</w:t>
      </w:r>
      <w:r w:rsidRPr="00F0669D">
        <w:rPr>
          <w:rFonts w:ascii="Arial" w:hAnsi="Arial" w:cs="Arial"/>
          <w:sz w:val="22"/>
          <w:szCs w:val="22"/>
        </w:rPr>
        <w:t xml:space="preserve">. </w:t>
      </w:r>
      <w:r>
        <w:rPr>
          <w:rFonts w:ascii="Arial" w:hAnsi="Arial" w:cs="Arial"/>
          <w:sz w:val="22"/>
          <w:szCs w:val="22"/>
        </w:rPr>
        <w:t xml:space="preserve">Typically, monitoring focuses on insects (in aquatic stages of development) as they are representative of a variety of trophic levels, are sensitive to local environmental conditions and are easy to collect.  </w:t>
      </w:r>
      <w:r w:rsidRPr="00F0669D">
        <w:rPr>
          <w:rFonts w:ascii="Arial" w:hAnsi="Arial" w:cs="Arial"/>
          <w:sz w:val="22"/>
          <w:szCs w:val="22"/>
        </w:rPr>
        <w:t>Since the</w:t>
      </w:r>
      <w:r w:rsidRPr="00F0669D" w:rsidDel="00BA4414">
        <w:rPr>
          <w:rFonts w:ascii="Arial" w:hAnsi="Arial" w:cs="Arial"/>
          <w:sz w:val="22"/>
          <w:szCs w:val="22"/>
        </w:rPr>
        <w:t xml:space="preserve"> </w:t>
      </w:r>
      <w:r>
        <w:rPr>
          <w:rFonts w:ascii="Arial" w:hAnsi="Arial" w:cs="Arial"/>
          <w:sz w:val="22"/>
          <w:szCs w:val="22"/>
        </w:rPr>
        <w:t xml:space="preserve">macroinvertebrate </w:t>
      </w:r>
      <w:r w:rsidRPr="00F0669D">
        <w:rPr>
          <w:rFonts w:ascii="Arial" w:hAnsi="Arial" w:cs="Arial"/>
          <w:sz w:val="22"/>
          <w:szCs w:val="22"/>
        </w:rPr>
        <w:t>population depends on the physical conditions of the stream as well as water quality, its composition indicates the overall stream quality. Insect diversity indicates good stream quality and is measured by the number of different insect families. 87 benthic insect families are found in the Huron River Watershed.</w:t>
      </w:r>
      <w:r w:rsidRPr="00F0669D">
        <w:rPr>
          <w:rFonts w:ascii="Arial" w:hAnsi="Arial" w:cs="Arial"/>
          <w:sz w:val="22"/>
          <w:szCs w:val="22"/>
          <w:vertAlign w:val="superscript"/>
        </w:rPr>
        <w:endnoteReference w:id="28"/>
      </w:r>
      <w:r w:rsidRPr="00F0669D">
        <w:rPr>
          <w:rFonts w:ascii="Arial" w:hAnsi="Arial" w:cs="Arial"/>
          <w:sz w:val="22"/>
          <w:szCs w:val="22"/>
        </w:rPr>
        <w:t xml:space="preserve">  </w:t>
      </w:r>
    </w:p>
    <w:p w14:paraId="2697372B" w14:textId="5957B9BA" w:rsidR="008B4D33" w:rsidRDefault="008B4D33" w:rsidP="006E5D33">
      <w:pPr>
        <w:spacing w:before="100" w:beforeAutospacing="1" w:after="100" w:afterAutospacing="1"/>
        <w:rPr>
          <w:rFonts w:ascii="Arial" w:hAnsi="Arial" w:cs="Arial"/>
          <w:sz w:val="22"/>
          <w:szCs w:val="22"/>
        </w:rPr>
      </w:pPr>
      <w:r w:rsidRPr="00C40AE3">
        <w:rPr>
          <w:rFonts w:ascii="Arial" w:hAnsi="Arial" w:cs="Arial"/>
          <w:noProof/>
        </w:rPr>
        <w:drawing>
          <wp:anchor distT="0" distB="0" distL="114300" distR="114300" simplePos="0" relativeHeight="251694080" behindDoc="1" locked="0" layoutInCell="1" allowOverlap="1" wp14:anchorId="06044B02" wp14:editId="6DBE4592">
            <wp:simplePos x="0" y="0"/>
            <wp:positionH relativeFrom="column">
              <wp:posOffset>3439795</wp:posOffset>
            </wp:positionH>
            <wp:positionV relativeFrom="paragraph">
              <wp:posOffset>59715</wp:posOffset>
            </wp:positionV>
            <wp:extent cx="2386965" cy="1962150"/>
            <wp:effectExtent l="0" t="0" r="0" b="0"/>
            <wp:wrapTight wrapText="bothSides">
              <wp:wrapPolygon edited="0">
                <wp:start x="0" y="0"/>
                <wp:lineTo x="0" y="21390"/>
                <wp:lineTo x="21376" y="21390"/>
                <wp:lineTo x="21376" y="0"/>
                <wp:lineTo x="0" y="0"/>
              </wp:wrapPolygon>
            </wp:wrapTight>
            <wp:docPr id="72" name="Picture 43" descr="isonychiidae_brush_l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sonychiidae_brush_l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86965" cy="1962150"/>
                    </a:xfrm>
                    <a:prstGeom prst="rect">
                      <a:avLst/>
                    </a:prstGeom>
                    <a:noFill/>
                  </pic:spPr>
                </pic:pic>
              </a:graphicData>
            </a:graphic>
            <wp14:sizeRelH relativeFrom="page">
              <wp14:pctWidth>0</wp14:pctWidth>
            </wp14:sizeRelH>
            <wp14:sizeRelV relativeFrom="page">
              <wp14:pctHeight>0</wp14:pctHeight>
            </wp14:sizeRelV>
          </wp:anchor>
        </w:drawing>
      </w:r>
      <w:r w:rsidRPr="00C40AE3">
        <w:rPr>
          <w:rFonts w:ascii="Arial" w:hAnsi="Arial" w:cs="Arial"/>
          <w:noProof/>
        </w:rPr>
        <mc:AlternateContent>
          <mc:Choice Requires="wps">
            <w:drawing>
              <wp:anchor distT="0" distB="0" distL="114300" distR="114300" simplePos="0" relativeHeight="251695104" behindDoc="0" locked="0" layoutInCell="1" allowOverlap="1" wp14:anchorId="377FD492" wp14:editId="3E0AB97C">
                <wp:simplePos x="0" y="0"/>
                <wp:positionH relativeFrom="column">
                  <wp:posOffset>3404235</wp:posOffset>
                </wp:positionH>
                <wp:positionV relativeFrom="paragraph">
                  <wp:posOffset>1998345</wp:posOffset>
                </wp:positionV>
                <wp:extent cx="2386965" cy="409575"/>
                <wp:effectExtent l="3810" t="0" r="0" b="0"/>
                <wp:wrapTight wrapText="bothSides">
                  <wp:wrapPolygon edited="0">
                    <wp:start x="0" y="0"/>
                    <wp:lineTo x="21600" y="0"/>
                    <wp:lineTo x="21600" y="21600"/>
                    <wp:lineTo x="0" y="21600"/>
                    <wp:lineTo x="0" y="0"/>
                  </wp:wrapPolygon>
                </wp:wrapTight>
                <wp:docPr id="73"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696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B22A1A" w14:textId="77777777" w:rsidR="008B4D33" w:rsidRPr="00E421DB" w:rsidRDefault="008B4D33" w:rsidP="006E5D33">
                            <w:pPr>
                              <w:rPr>
                                <w:rFonts w:ascii="Arial" w:hAnsi="Arial" w:cs="Arial"/>
                                <w:i/>
                                <w:iCs/>
                                <w:sz w:val="20"/>
                                <w:szCs w:val="20"/>
                              </w:rPr>
                            </w:pPr>
                            <w:r w:rsidRPr="00E421DB">
                              <w:rPr>
                                <w:rFonts w:ascii="Arial" w:hAnsi="Arial" w:cs="Arial"/>
                                <w:i/>
                                <w:iCs/>
                                <w:sz w:val="20"/>
                                <w:szCs w:val="20"/>
                              </w:rPr>
                              <w:t>Brush-legg</w:t>
                            </w:r>
                            <w:r>
                              <w:rPr>
                                <w:rFonts w:ascii="Arial" w:hAnsi="Arial" w:cs="Arial"/>
                                <w:i/>
                                <w:iCs/>
                                <w:sz w:val="20"/>
                                <w:szCs w:val="20"/>
                              </w:rPr>
                              <w:t>ed Mayfly (</w:t>
                            </w:r>
                            <w:r w:rsidRPr="0016207F">
                              <w:rPr>
                                <w:rFonts w:ascii="Arial" w:hAnsi="Arial" w:cs="Arial"/>
                                <w:sz w:val="20"/>
                                <w:szCs w:val="20"/>
                              </w:rPr>
                              <w:t xml:space="preserve">Ephemeroptera </w:t>
                            </w:r>
                            <w:proofErr w:type="spellStart"/>
                            <w:r w:rsidRPr="0016207F">
                              <w:rPr>
                                <w:rFonts w:ascii="Arial" w:hAnsi="Arial" w:cs="Arial"/>
                                <w:sz w:val="20"/>
                                <w:szCs w:val="20"/>
                              </w:rPr>
                              <w:t>isonychiidae</w:t>
                            </w:r>
                            <w:proofErr w:type="spellEnd"/>
                            <w:r w:rsidRPr="00E421DB">
                              <w:rPr>
                                <w:rFonts w:ascii="Arial" w:hAnsi="Arial" w:cs="Arial"/>
                                <w:i/>
                                <w:iCs/>
                                <w:sz w:val="20"/>
                                <w:szCs w:val="20"/>
                              </w:rPr>
                              <w:t xml:space="preserve">) </w:t>
                            </w:r>
                            <w:r w:rsidRPr="00E421DB">
                              <w:rPr>
                                <w:rFonts w:ascii="Arial" w:hAnsi="Arial" w:cs="Arial"/>
                                <w:i/>
                                <w:iCs/>
                                <w:sz w:val="16"/>
                                <w:szCs w:val="16"/>
                              </w:rPr>
                              <w:t>drawing: Matt Wimsatt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7FD492" id="Text Box 47" o:spid="_x0000_s1029" type="#_x0000_t202" style="position:absolute;margin-left:268.05pt;margin-top:157.35pt;width:187.95pt;height:32.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" filled="f" stroked="f">
                <v:textbox>
                  <w:txbxContent>
                    <w:p w14:paraId="7CB22A1A" w14:textId="77777777" w:rsidR="008B4D33" w:rsidRPr="00E421DB" w:rsidRDefault="008B4D33" w:rsidP="006E5D33">
                      <w:pPr>
                        <w:rPr>
                          <w:rFonts w:ascii="Arial" w:hAnsi="Arial" w:cs="Arial"/>
                          <w:i/>
                          <w:iCs/>
                          <w:sz w:val="20"/>
                          <w:szCs w:val="20"/>
                        </w:rPr>
                      </w:pPr>
                      <w:r w:rsidRPr="00E421DB">
                        <w:rPr>
                          <w:rFonts w:ascii="Arial" w:hAnsi="Arial" w:cs="Arial"/>
                          <w:i/>
                          <w:iCs/>
                          <w:sz w:val="20"/>
                          <w:szCs w:val="20"/>
                        </w:rPr>
                        <w:t>Brush-legg</w:t>
                      </w:r>
                      <w:r>
                        <w:rPr>
                          <w:rFonts w:ascii="Arial" w:hAnsi="Arial" w:cs="Arial"/>
                          <w:i/>
                          <w:iCs/>
                          <w:sz w:val="20"/>
                          <w:szCs w:val="20"/>
                        </w:rPr>
                        <w:t>ed Mayfly (</w:t>
                      </w:r>
                      <w:r w:rsidRPr="0016207F">
                        <w:rPr>
                          <w:rFonts w:ascii="Arial" w:hAnsi="Arial" w:cs="Arial"/>
                          <w:sz w:val="20"/>
                          <w:szCs w:val="20"/>
                        </w:rPr>
                        <w:t xml:space="preserve">Ephemeroptera </w:t>
                      </w:r>
                      <w:proofErr w:type="spellStart"/>
                      <w:r w:rsidRPr="0016207F">
                        <w:rPr>
                          <w:rFonts w:ascii="Arial" w:hAnsi="Arial" w:cs="Arial"/>
                          <w:sz w:val="20"/>
                          <w:szCs w:val="20"/>
                        </w:rPr>
                        <w:t>isonychiidae</w:t>
                      </w:r>
                      <w:proofErr w:type="spellEnd"/>
                      <w:r w:rsidRPr="00E421DB">
                        <w:rPr>
                          <w:rFonts w:ascii="Arial" w:hAnsi="Arial" w:cs="Arial"/>
                          <w:i/>
                          <w:iCs/>
                          <w:sz w:val="20"/>
                          <w:szCs w:val="20"/>
                        </w:rPr>
                        <w:t xml:space="preserve">) </w:t>
                      </w:r>
                      <w:r w:rsidRPr="00E421DB">
                        <w:rPr>
                          <w:rFonts w:ascii="Arial" w:hAnsi="Arial" w:cs="Arial"/>
                          <w:i/>
                          <w:iCs/>
                          <w:sz w:val="16"/>
                          <w:szCs w:val="16"/>
                        </w:rPr>
                        <w:t>drawing: Matt Wimsatt</w:t>
                      </w:r>
                    </w:p>
                  </w:txbxContent>
                </v:textbox>
                <w10:wrap type="tight"/>
              </v:shape>
            </w:pict>
          </mc:Fallback>
        </mc:AlternateContent>
      </w:r>
      <w:r>
        <w:rPr>
          <w:rFonts w:ascii="Arial" w:hAnsi="Arial" w:cs="Arial"/>
          <w:sz w:val="22"/>
          <w:szCs w:val="22"/>
        </w:rPr>
        <w:t>Macroinvertebrate data is collected through HRWC River Roundup event</w:t>
      </w:r>
      <w:r w:rsidRPr="00F0669D">
        <w:rPr>
          <w:rFonts w:ascii="Arial" w:hAnsi="Arial" w:cs="Arial"/>
          <w:sz w:val="22"/>
          <w:szCs w:val="22"/>
        </w:rPr>
        <w:t>,</w:t>
      </w:r>
      <w:r>
        <w:rPr>
          <w:rFonts w:ascii="Arial" w:hAnsi="Arial" w:cs="Arial"/>
          <w:sz w:val="22"/>
          <w:szCs w:val="22"/>
        </w:rPr>
        <w:t xml:space="preserve"> formerly known as HRWC’s Adopt-a-Stream,</w:t>
      </w:r>
      <w:r w:rsidRPr="00F0669D">
        <w:rPr>
          <w:rFonts w:ascii="Arial" w:hAnsi="Arial" w:cs="Arial"/>
          <w:sz w:val="22"/>
          <w:szCs w:val="22"/>
        </w:rPr>
        <w:t xml:space="preserve"> which relies on trained volunteers to monitor more than </w:t>
      </w:r>
      <w:r w:rsidRPr="00646CFF">
        <w:rPr>
          <w:rFonts w:ascii="Arial" w:hAnsi="Arial" w:cs="Arial"/>
          <w:sz w:val="22"/>
          <w:szCs w:val="22"/>
        </w:rPr>
        <w:t xml:space="preserve">80 </w:t>
      </w:r>
      <w:r w:rsidRPr="00F0669D">
        <w:rPr>
          <w:rFonts w:ascii="Arial" w:hAnsi="Arial" w:cs="Arial"/>
          <w:sz w:val="22"/>
          <w:szCs w:val="22"/>
        </w:rPr>
        <w:t xml:space="preserve">sites in the </w:t>
      </w:r>
      <w:r>
        <w:rPr>
          <w:rFonts w:ascii="Arial" w:hAnsi="Arial" w:cs="Arial"/>
          <w:sz w:val="22"/>
          <w:szCs w:val="22"/>
        </w:rPr>
        <w:t xml:space="preserve">Huron River </w:t>
      </w:r>
      <w:r w:rsidRPr="00F0669D">
        <w:rPr>
          <w:rFonts w:ascii="Arial" w:hAnsi="Arial" w:cs="Arial"/>
          <w:sz w:val="22"/>
          <w:szCs w:val="22"/>
        </w:rPr>
        <w:t xml:space="preserve">watershed, </w:t>
      </w:r>
      <w:r w:rsidRPr="00BC0902">
        <w:rPr>
          <w:rFonts w:ascii="Arial" w:hAnsi="Arial" w:cs="Arial"/>
          <w:sz w:val="22"/>
          <w:szCs w:val="22"/>
        </w:rPr>
        <w:t xml:space="preserve">including </w:t>
      </w:r>
      <w:r w:rsidRPr="00153505">
        <w:rPr>
          <w:rFonts w:ascii="Arial" w:hAnsi="Arial" w:cs="Arial"/>
          <w:sz w:val="22"/>
          <w:szCs w:val="22"/>
        </w:rPr>
        <w:t>15</w:t>
      </w:r>
      <w:r w:rsidRPr="00BC0902">
        <w:rPr>
          <w:rFonts w:ascii="Arial" w:hAnsi="Arial" w:cs="Arial"/>
          <w:sz w:val="22"/>
          <w:szCs w:val="22"/>
        </w:rPr>
        <w:t xml:space="preserve"> in the Watershed</w:t>
      </w:r>
      <w:r>
        <w:rPr>
          <w:rFonts w:ascii="Arial" w:hAnsi="Arial" w:cs="Arial"/>
          <w:sz w:val="22"/>
          <w:szCs w:val="22"/>
        </w:rPr>
        <w:t xml:space="preserve"> of this management plan</w:t>
      </w:r>
      <w:r w:rsidRPr="00BC0902">
        <w:rPr>
          <w:rFonts w:ascii="Arial" w:hAnsi="Arial" w:cs="Arial"/>
          <w:sz w:val="22"/>
          <w:szCs w:val="22"/>
        </w:rPr>
        <w:t>.</w:t>
      </w:r>
      <w:r>
        <w:rPr>
          <w:rFonts w:ascii="Arial" w:hAnsi="Arial" w:cs="Arial"/>
          <w:sz w:val="22"/>
          <w:szCs w:val="22"/>
        </w:rPr>
        <w:t xml:space="preserve"> </w:t>
      </w:r>
      <w:r w:rsidRPr="00F0669D">
        <w:rPr>
          <w:rFonts w:ascii="Arial" w:hAnsi="Arial" w:cs="Arial"/>
          <w:sz w:val="22"/>
          <w:szCs w:val="22"/>
        </w:rPr>
        <w:t>Monitoring data has been gathered since as early as</w:t>
      </w:r>
      <w:r w:rsidRPr="00F0669D" w:rsidDel="00BA4414">
        <w:rPr>
          <w:rFonts w:ascii="Arial" w:hAnsi="Arial" w:cs="Arial"/>
          <w:sz w:val="22"/>
          <w:szCs w:val="22"/>
        </w:rPr>
        <w:t xml:space="preserve"> </w:t>
      </w:r>
      <w:r w:rsidRPr="00F0669D">
        <w:rPr>
          <w:rFonts w:ascii="Arial" w:hAnsi="Arial" w:cs="Arial"/>
          <w:sz w:val="22"/>
          <w:szCs w:val="22"/>
        </w:rPr>
        <w:t>199</w:t>
      </w:r>
      <w:r>
        <w:rPr>
          <w:rFonts w:ascii="Arial" w:hAnsi="Arial" w:cs="Arial"/>
          <w:sz w:val="22"/>
          <w:szCs w:val="22"/>
        </w:rPr>
        <w:t>2</w:t>
      </w:r>
      <w:r w:rsidRPr="00F0669D">
        <w:rPr>
          <w:rFonts w:ascii="Arial" w:hAnsi="Arial" w:cs="Arial"/>
          <w:sz w:val="22"/>
          <w:szCs w:val="22"/>
        </w:rPr>
        <w:t xml:space="preserve"> at some sites through annual spring and fall collection days, and a winter stonefly search each January. </w:t>
      </w:r>
      <w:r>
        <w:rPr>
          <w:rFonts w:ascii="Arial" w:hAnsi="Arial" w:cs="Arial"/>
          <w:sz w:val="22"/>
          <w:szCs w:val="22"/>
        </w:rPr>
        <w:t>Only one</w:t>
      </w:r>
      <w:r w:rsidRPr="00153505">
        <w:rPr>
          <w:rFonts w:ascii="Arial" w:hAnsi="Arial" w:cs="Arial"/>
          <w:sz w:val="22"/>
          <w:szCs w:val="22"/>
        </w:rPr>
        <w:t xml:space="preserve"> </w:t>
      </w:r>
      <w:r>
        <w:rPr>
          <w:rFonts w:ascii="Arial" w:hAnsi="Arial" w:cs="Arial"/>
          <w:sz w:val="22"/>
          <w:szCs w:val="22"/>
        </w:rPr>
        <w:t xml:space="preserve">site in the Watershed is regularly sampled, on the Huron main branch in Ypsilanti. </w:t>
      </w:r>
    </w:p>
    <w:p w14:paraId="122C44BD" w14:textId="77777777" w:rsidR="008B4D33" w:rsidRPr="00F0669D" w:rsidRDefault="008B4D33" w:rsidP="006E5D33">
      <w:pPr>
        <w:spacing w:before="100" w:beforeAutospacing="1" w:after="100" w:afterAutospacing="1"/>
        <w:rPr>
          <w:rFonts w:ascii="Arial" w:hAnsi="Arial" w:cs="Arial"/>
          <w:sz w:val="22"/>
          <w:szCs w:val="22"/>
        </w:rPr>
      </w:pPr>
      <w:r w:rsidRPr="00F0669D">
        <w:rPr>
          <w:rFonts w:ascii="Arial" w:hAnsi="Arial" w:cs="Arial"/>
          <w:sz w:val="22"/>
          <w:szCs w:val="22"/>
        </w:rPr>
        <w:t xml:space="preserve">Insect families belonging to the orders of Ephemeroptera (mayflies), </w:t>
      </w:r>
      <w:proofErr w:type="spellStart"/>
      <w:r w:rsidRPr="00F0669D">
        <w:rPr>
          <w:rFonts w:ascii="Arial" w:hAnsi="Arial" w:cs="Arial"/>
          <w:sz w:val="22"/>
          <w:szCs w:val="22"/>
        </w:rPr>
        <w:t>Plecoptera</w:t>
      </w:r>
      <w:proofErr w:type="spellEnd"/>
      <w:r w:rsidRPr="00F0669D">
        <w:rPr>
          <w:rFonts w:ascii="Arial" w:hAnsi="Arial" w:cs="Arial"/>
          <w:sz w:val="22"/>
          <w:szCs w:val="22"/>
        </w:rPr>
        <w:t xml:space="preserve"> (stoneflies), and </w:t>
      </w:r>
      <w:proofErr w:type="spellStart"/>
      <w:r w:rsidRPr="00F0669D">
        <w:rPr>
          <w:rFonts w:ascii="Arial" w:hAnsi="Arial" w:cs="Arial"/>
          <w:sz w:val="22"/>
          <w:szCs w:val="22"/>
        </w:rPr>
        <w:t>Trichoptera</w:t>
      </w:r>
      <w:proofErr w:type="spellEnd"/>
      <w:r w:rsidRPr="00F0669D">
        <w:rPr>
          <w:rFonts w:ascii="Arial" w:hAnsi="Arial" w:cs="Arial"/>
          <w:sz w:val="22"/>
          <w:szCs w:val="22"/>
        </w:rPr>
        <w:t xml:space="preserve"> (caddisflies) are known as the EPT families, which are indicators of alterations in stream flow, temperature, </w:t>
      </w:r>
      <w:proofErr w:type="gramStart"/>
      <w:r w:rsidRPr="00F0669D">
        <w:rPr>
          <w:rFonts w:ascii="Arial" w:hAnsi="Arial" w:cs="Arial"/>
          <w:sz w:val="22"/>
          <w:szCs w:val="22"/>
        </w:rPr>
        <w:t>oxygen</w:t>
      </w:r>
      <w:proofErr w:type="gramEnd"/>
      <w:r w:rsidRPr="00F0669D">
        <w:rPr>
          <w:rFonts w:ascii="Arial" w:hAnsi="Arial" w:cs="Arial"/>
          <w:sz w:val="22"/>
          <w:szCs w:val="22"/>
        </w:rPr>
        <w:t xml:space="preserve"> and other changes that raise metabolic rates.  </w:t>
      </w:r>
    </w:p>
    <w:p w14:paraId="4755D183" w14:textId="5D63E0AC" w:rsidR="008B4D33" w:rsidRDefault="008B4D33" w:rsidP="006E5D33">
      <w:pPr>
        <w:spacing w:before="100" w:beforeAutospacing="1" w:after="100" w:afterAutospacing="1"/>
        <w:rPr>
          <w:rFonts w:ascii="Arial" w:hAnsi="Arial" w:cs="Arial"/>
          <w:sz w:val="22"/>
          <w:szCs w:val="22"/>
        </w:rPr>
      </w:pPr>
      <w:r>
        <w:rPr>
          <w:rFonts w:ascii="Arial" w:hAnsi="Arial" w:cs="Arial"/>
          <w:sz w:val="22"/>
          <w:szCs w:val="22"/>
        </w:rPr>
        <w:t xml:space="preserve">HRWC also uses Hilsenhoff’s Index of Biotic Integrity to understand the level of organic pollution tolerance in the insect community. </w:t>
      </w:r>
      <w:r w:rsidRPr="00F0669D">
        <w:rPr>
          <w:rFonts w:ascii="Arial" w:hAnsi="Arial" w:cs="Arial"/>
          <w:sz w:val="22"/>
          <w:szCs w:val="22"/>
        </w:rPr>
        <w:t xml:space="preserve">Sensitive insect families, such as </w:t>
      </w:r>
      <w:proofErr w:type="spellStart"/>
      <w:r w:rsidRPr="00F0669D">
        <w:rPr>
          <w:rFonts w:ascii="Arial" w:hAnsi="Arial" w:cs="Arial"/>
          <w:sz w:val="22"/>
          <w:szCs w:val="22"/>
        </w:rPr>
        <w:t>Perlidae</w:t>
      </w:r>
      <w:proofErr w:type="spellEnd"/>
      <w:r w:rsidRPr="00F0669D">
        <w:rPr>
          <w:rFonts w:ascii="Arial" w:hAnsi="Arial" w:cs="Arial"/>
          <w:sz w:val="22"/>
          <w:szCs w:val="22"/>
        </w:rPr>
        <w:t xml:space="preserve"> (</w:t>
      </w:r>
      <w:proofErr w:type="spellStart"/>
      <w:r w:rsidRPr="00F0669D">
        <w:rPr>
          <w:rFonts w:ascii="Arial" w:hAnsi="Arial" w:cs="Arial"/>
          <w:sz w:val="22"/>
          <w:szCs w:val="22"/>
        </w:rPr>
        <w:t>Perlid</w:t>
      </w:r>
      <w:proofErr w:type="spellEnd"/>
      <w:r w:rsidRPr="00F0669D">
        <w:rPr>
          <w:rFonts w:ascii="Arial" w:hAnsi="Arial" w:cs="Arial"/>
          <w:sz w:val="22"/>
          <w:szCs w:val="22"/>
        </w:rPr>
        <w:t xml:space="preserve"> stonefly) and </w:t>
      </w:r>
      <w:proofErr w:type="spellStart"/>
      <w:r w:rsidRPr="00F0669D">
        <w:rPr>
          <w:rFonts w:ascii="Arial" w:hAnsi="Arial" w:cs="Arial"/>
          <w:sz w:val="22"/>
          <w:szCs w:val="22"/>
        </w:rPr>
        <w:t>Brachycentridae</w:t>
      </w:r>
      <w:proofErr w:type="spellEnd"/>
      <w:r w:rsidRPr="00F0669D">
        <w:rPr>
          <w:rFonts w:ascii="Arial" w:hAnsi="Arial" w:cs="Arial"/>
          <w:sz w:val="22"/>
          <w:szCs w:val="22"/>
        </w:rPr>
        <w:t xml:space="preserve"> (log-cabin caddisfly), are highly sensitive to organic pollution</w:t>
      </w:r>
      <w:r>
        <w:rPr>
          <w:rFonts w:ascii="Arial" w:hAnsi="Arial" w:cs="Arial"/>
          <w:sz w:val="22"/>
          <w:szCs w:val="22"/>
        </w:rPr>
        <w:t>. William Hilsenhoff’s conducted a study that ranked macroinvertebrates on a scale of 0-10 in terms of pollution sensitivity. Organisms ranked 0, 1, or 2 are considered sensitive in HRWC’s protocols.</w:t>
      </w:r>
      <w:r w:rsidRPr="00F0669D">
        <w:rPr>
          <w:rFonts w:ascii="Arial" w:hAnsi="Arial" w:cs="Arial"/>
          <w:sz w:val="22"/>
          <w:szCs w:val="22"/>
          <w:vertAlign w:val="superscript"/>
        </w:rPr>
        <w:endnoteReference w:id="29"/>
      </w:r>
      <w:r w:rsidRPr="00F0669D">
        <w:rPr>
          <w:rFonts w:ascii="Arial" w:hAnsi="Arial" w:cs="Arial"/>
          <w:sz w:val="22"/>
          <w:szCs w:val="22"/>
        </w:rPr>
        <w:t xml:space="preserve">  19 of the 87 benthic insect families living in the Huron River Watershed are sensitive.</w:t>
      </w:r>
      <w:r w:rsidRPr="00F0669D">
        <w:rPr>
          <w:rFonts w:ascii="Arial" w:hAnsi="Arial" w:cs="Arial"/>
          <w:sz w:val="22"/>
          <w:szCs w:val="22"/>
          <w:vertAlign w:val="superscript"/>
        </w:rPr>
        <w:endnoteReference w:id="30"/>
      </w:r>
      <w:r w:rsidRPr="00F0669D">
        <w:rPr>
          <w:rFonts w:ascii="Arial" w:hAnsi="Arial" w:cs="Arial"/>
          <w:sz w:val="22"/>
          <w:szCs w:val="22"/>
        </w:rPr>
        <w:t xml:space="preserve"> </w:t>
      </w:r>
      <w:r>
        <w:rPr>
          <w:rFonts w:ascii="Arial" w:hAnsi="Arial" w:cs="Arial"/>
          <w:sz w:val="22"/>
          <w:szCs w:val="22"/>
        </w:rPr>
        <w:t xml:space="preserve">HRWC looks at numbers of Sensitive </w:t>
      </w:r>
      <w:r>
        <w:rPr>
          <w:rFonts w:ascii="Arial" w:hAnsi="Arial" w:cs="Arial"/>
          <w:sz w:val="22"/>
          <w:szCs w:val="22"/>
        </w:rPr>
        <w:lastRenderedPageBreak/>
        <w:t>families as well as computing an overall Hilsenhoff IBI which is essentially a weighted average of the Hilsenhoff ranking, with 0 being Excellent and 10 being Very Poor.  It is possible that a site with a high total insect family count can still have a poor Hilsenhoff IBI if the insect community there has a high proportion of pollution tolerant taxa.</w:t>
      </w:r>
    </w:p>
    <w:p w14:paraId="42537A0A" w14:textId="63F6FE76" w:rsidR="008B4D33" w:rsidRDefault="008B4D33" w:rsidP="006E5D33">
      <w:pPr>
        <w:spacing w:before="100" w:beforeAutospacing="1" w:after="120"/>
        <w:rPr>
          <w:rFonts w:ascii="Arial" w:hAnsi="Arial" w:cs="Arial"/>
          <w:sz w:val="22"/>
          <w:szCs w:val="22"/>
        </w:rPr>
      </w:pPr>
      <w:r w:rsidRPr="00F0669D">
        <w:rPr>
          <w:rFonts w:ascii="Arial" w:hAnsi="Arial" w:cs="Arial"/>
          <w:sz w:val="22"/>
          <w:szCs w:val="22"/>
        </w:rPr>
        <w:t xml:space="preserve">The presence of winter stoneflies, which are active in January and require high levels of oxygen, are indicators of good stream quality. </w:t>
      </w:r>
      <w:proofErr w:type="gramStart"/>
      <w:r w:rsidRPr="00F0669D">
        <w:rPr>
          <w:rFonts w:ascii="Arial" w:hAnsi="Arial" w:cs="Arial"/>
          <w:sz w:val="22"/>
          <w:szCs w:val="22"/>
        </w:rPr>
        <w:t>Absence</w:t>
      </w:r>
      <w:proofErr w:type="gramEnd"/>
      <w:r w:rsidRPr="00F0669D">
        <w:rPr>
          <w:rFonts w:ascii="Arial" w:hAnsi="Arial" w:cs="Arial"/>
          <w:sz w:val="22"/>
          <w:szCs w:val="22"/>
        </w:rPr>
        <w:t xml:space="preserve"> of winter stoneflies suggests that toxic pollutants may be present. </w:t>
      </w:r>
      <w:r>
        <w:rPr>
          <w:rFonts w:ascii="Arial" w:hAnsi="Arial" w:cs="Arial"/>
          <w:sz w:val="22"/>
          <w:szCs w:val="22"/>
        </w:rPr>
        <w:t>Since</w:t>
      </w:r>
      <w:r w:rsidRPr="00F0669D">
        <w:rPr>
          <w:rFonts w:ascii="Arial" w:hAnsi="Arial" w:cs="Arial"/>
          <w:sz w:val="22"/>
          <w:szCs w:val="22"/>
        </w:rPr>
        <w:t xml:space="preserve"> there is usually little or no stormwater runoff in January, there is a greater likelihood that any pollutants in the stream are persistent toxic substances present in the bottom of the streambed. Conversely, at a site where insect diversity is lower than expected but winter stoneflies are present, pollutants </w:t>
      </w:r>
      <w:r>
        <w:rPr>
          <w:rFonts w:ascii="Arial" w:hAnsi="Arial" w:cs="Arial"/>
          <w:sz w:val="22"/>
          <w:szCs w:val="22"/>
        </w:rPr>
        <w:t>connected or related to stormwater runoff (</w:t>
      </w:r>
      <w:proofErr w:type="gramStart"/>
      <w:r>
        <w:rPr>
          <w:rFonts w:ascii="Arial" w:hAnsi="Arial" w:cs="Arial"/>
          <w:sz w:val="22"/>
          <w:szCs w:val="22"/>
        </w:rPr>
        <w:t>i.e.</w:t>
      </w:r>
      <w:proofErr w:type="gramEnd"/>
      <w:r>
        <w:rPr>
          <w:rFonts w:ascii="Arial" w:hAnsi="Arial" w:cs="Arial"/>
          <w:sz w:val="22"/>
          <w:szCs w:val="22"/>
        </w:rPr>
        <w:t xml:space="preserve"> nutrients or sediment)</w:t>
      </w:r>
      <w:r w:rsidRPr="00C40AE3">
        <w:rPr>
          <w:rFonts w:ascii="Arial" w:hAnsi="Arial" w:cs="Arial"/>
          <w:sz w:val="22"/>
          <w:szCs w:val="22"/>
        </w:rPr>
        <w:t xml:space="preserve"> </w:t>
      </w:r>
      <w:r w:rsidRPr="00F0669D">
        <w:rPr>
          <w:rFonts w:ascii="Arial" w:hAnsi="Arial" w:cs="Arial"/>
          <w:sz w:val="22"/>
          <w:szCs w:val="22"/>
        </w:rPr>
        <w:t>are more likely to be the problem.</w:t>
      </w:r>
    </w:p>
    <w:p w14:paraId="2D57573D" w14:textId="77777777" w:rsidR="008B4D33" w:rsidRDefault="008B4D33" w:rsidP="00A0673D">
      <w:pPr>
        <w:pStyle w:val="WMP-header4"/>
        <w:outlineLvl w:val="3"/>
      </w:pPr>
      <w:bookmarkStart w:id="32" w:name="_Toc111629336"/>
    </w:p>
    <w:p w14:paraId="481FF58C" w14:textId="520BE4DA" w:rsidR="008B4D33" w:rsidRDefault="008B4D33" w:rsidP="00A0673D">
      <w:pPr>
        <w:pStyle w:val="WMP-header4"/>
        <w:outlineLvl w:val="3"/>
      </w:pPr>
      <w:r w:rsidRPr="001F5ED3">
        <w:t>2.3.</w:t>
      </w:r>
      <w:r>
        <w:t>2</w:t>
      </w:r>
      <w:r w:rsidRPr="001F5ED3">
        <w:t>.</w:t>
      </w:r>
      <w:r>
        <w:t>3</w:t>
      </w:r>
      <w:r w:rsidRPr="00F804DF">
        <w:t xml:space="preserve"> Fish</w:t>
      </w:r>
      <w:bookmarkEnd w:id="32"/>
    </w:p>
    <w:p w14:paraId="6B652EE2" w14:textId="77777777" w:rsidR="008B4D33" w:rsidRPr="008A3762" w:rsidRDefault="008B4D33" w:rsidP="00A0673D">
      <w:pPr>
        <w:pStyle w:val="WMP-header4"/>
        <w:outlineLvl w:val="3"/>
        <w:rPr>
          <w:u w:val="single"/>
        </w:rPr>
      </w:pPr>
    </w:p>
    <w:p w14:paraId="0D1BD567" w14:textId="37801518" w:rsidR="008B4D33" w:rsidRPr="00C84F94" w:rsidRDefault="008B4D33" w:rsidP="006E5D33">
      <w:pPr>
        <w:rPr>
          <w:rFonts w:ascii="Arial" w:hAnsi="Arial" w:cs="Arial"/>
          <w:sz w:val="22"/>
          <w:szCs w:val="22"/>
        </w:rPr>
      </w:pPr>
      <w:r w:rsidRPr="00C84F94">
        <w:rPr>
          <w:rFonts w:ascii="Arial" w:hAnsi="Arial" w:cs="Arial"/>
          <w:sz w:val="22"/>
          <w:szCs w:val="22"/>
        </w:rPr>
        <w:t xml:space="preserve">Fish depend upon aquatic insects for food, and </w:t>
      </w:r>
      <w:r>
        <w:rPr>
          <w:rFonts w:ascii="Arial" w:hAnsi="Arial" w:cs="Arial"/>
          <w:sz w:val="22"/>
          <w:szCs w:val="22"/>
        </w:rPr>
        <w:t>they also need</w:t>
      </w:r>
      <w:r w:rsidRPr="00C84F94">
        <w:rPr>
          <w:rFonts w:ascii="Arial" w:hAnsi="Arial" w:cs="Arial"/>
          <w:sz w:val="22"/>
          <w:szCs w:val="22"/>
        </w:rPr>
        <w:t xml:space="preserve"> good quality stream habitat</w:t>
      </w:r>
      <w:r>
        <w:rPr>
          <w:rFonts w:ascii="Arial" w:hAnsi="Arial" w:cs="Arial"/>
          <w:sz w:val="22"/>
          <w:szCs w:val="22"/>
        </w:rPr>
        <w:t>s</w:t>
      </w:r>
      <w:r w:rsidRPr="00C84F94">
        <w:rPr>
          <w:rFonts w:ascii="Arial" w:hAnsi="Arial" w:cs="Arial"/>
          <w:sz w:val="22"/>
          <w:szCs w:val="22"/>
        </w:rPr>
        <w:t xml:space="preserve"> and free-flowing reaches for all life cycle phases. More than 90 species of fish are native to the Huron River Watershed, however at least 99 species now live in its waters due to human-induced changes to the river’s fish communities. Many native species </w:t>
      </w:r>
      <w:proofErr w:type="gramStart"/>
      <w:r w:rsidRPr="00C84F94">
        <w:rPr>
          <w:rFonts w:ascii="Arial" w:hAnsi="Arial" w:cs="Arial"/>
          <w:sz w:val="22"/>
          <w:szCs w:val="22"/>
        </w:rPr>
        <w:t>still are</w:t>
      </w:r>
      <w:proofErr w:type="gramEnd"/>
      <w:r w:rsidRPr="00C84F94">
        <w:rPr>
          <w:rFonts w:ascii="Arial" w:hAnsi="Arial" w:cs="Arial"/>
          <w:sz w:val="22"/>
          <w:szCs w:val="22"/>
        </w:rPr>
        <w:t xml:space="preserve"> present and abundant, yet many have declined to the point of rarity and are considered threatened or endangered. Increased peak flows, reduced summer base flows, increased and more varied temperatures, and increased turbidity and sediment loads have negatively affected critical fish habitat requirements, particularly </w:t>
      </w:r>
      <w:r>
        <w:rPr>
          <w:rFonts w:ascii="Arial" w:hAnsi="Arial" w:cs="Arial"/>
          <w:sz w:val="22"/>
          <w:szCs w:val="22"/>
        </w:rPr>
        <w:t>as they relate to</w:t>
      </w:r>
      <w:r w:rsidRPr="00C84F94">
        <w:rPr>
          <w:rFonts w:ascii="Arial" w:hAnsi="Arial" w:cs="Arial"/>
          <w:sz w:val="22"/>
          <w:szCs w:val="22"/>
        </w:rPr>
        <w:t xml:space="preserve"> spawning and survival of young fishes. Dams have also affected fish populations </w:t>
      </w:r>
      <w:r>
        <w:rPr>
          <w:rFonts w:ascii="Arial" w:hAnsi="Arial" w:cs="Arial"/>
          <w:sz w:val="22"/>
          <w:szCs w:val="22"/>
        </w:rPr>
        <w:t>by</w:t>
      </w:r>
      <w:r w:rsidRPr="00C84F94">
        <w:rPr>
          <w:rFonts w:ascii="Arial" w:hAnsi="Arial" w:cs="Arial"/>
          <w:sz w:val="22"/>
          <w:szCs w:val="22"/>
        </w:rPr>
        <w:t xml:space="preserve"> altering temperature and flow patterns, as well as inundating more high-gradient reaches and blocking migrations among critical seasonal habitats within the river.</w:t>
      </w:r>
      <w:r w:rsidRPr="00C84F94">
        <w:rPr>
          <w:rFonts w:ascii="Arial" w:hAnsi="Arial" w:cs="Arial"/>
          <w:sz w:val="22"/>
          <w:szCs w:val="22"/>
          <w:vertAlign w:val="superscript"/>
        </w:rPr>
        <w:endnoteReference w:id="31"/>
      </w:r>
    </w:p>
    <w:p w14:paraId="7FD68637" w14:textId="2B11350D" w:rsidR="008B4D33" w:rsidRDefault="008B4D33" w:rsidP="006E5D33">
      <w:pPr>
        <w:spacing w:before="100" w:beforeAutospacing="1" w:after="100" w:afterAutospacing="1"/>
        <w:rPr>
          <w:rFonts w:ascii="Arial" w:hAnsi="Arial" w:cs="Arial"/>
          <w:sz w:val="22"/>
          <w:szCs w:val="22"/>
        </w:rPr>
      </w:pPr>
      <w:r w:rsidRPr="00C84F94">
        <w:rPr>
          <w:rFonts w:ascii="Arial" w:hAnsi="Arial" w:cs="Arial"/>
          <w:sz w:val="22"/>
          <w:szCs w:val="22"/>
        </w:rPr>
        <w:t xml:space="preserve">No information is available on the pre-European settlement fish community in the Middle Huron system. The headwaters and most tributaries of the Huron River had fairly stable flows. Summer water temperatures remained cool due to substantial water volumes, shaded banks, and local inflow of additional groundwater. Diverse habitats existed, including extensive gravel and cobble riffles, deep pools with cover, channel-side marshes, and flood plain wetlands.  </w:t>
      </w:r>
    </w:p>
    <w:p w14:paraId="63E7D5DA" w14:textId="4E2CFC67" w:rsidR="008B4D33" w:rsidRDefault="008B4D33" w:rsidP="006E5D33">
      <w:pPr>
        <w:spacing w:before="100" w:beforeAutospacing="1" w:after="100" w:afterAutospacing="1"/>
        <w:rPr>
          <w:rFonts w:ascii="Arial" w:hAnsi="Arial" w:cs="Arial"/>
          <w:sz w:val="22"/>
          <w:szCs w:val="22"/>
        </w:rPr>
      </w:pPr>
      <w:r w:rsidRPr="00C84F94">
        <w:rPr>
          <w:rFonts w:ascii="Arial" w:hAnsi="Arial" w:cs="Arial"/>
          <w:sz w:val="22"/>
          <w:szCs w:val="22"/>
        </w:rPr>
        <w:t>A 1938 survey of the headwaters and tributaries upstream of Ann Arbor found about 25 species.</w:t>
      </w:r>
      <w:r w:rsidRPr="00C84F94">
        <w:rPr>
          <w:rFonts w:ascii="Arial" w:hAnsi="Arial" w:cs="Arial"/>
          <w:sz w:val="22"/>
          <w:szCs w:val="22"/>
          <w:vertAlign w:val="superscript"/>
        </w:rPr>
        <w:endnoteReference w:id="32"/>
      </w:r>
      <w:r w:rsidRPr="00C84F94">
        <w:rPr>
          <w:rFonts w:ascii="Arial" w:hAnsi="Arial" w:cs="Arial"/>
          <w:sz w:val="22"/>
          <w:szCs w:val="22"/>
        </w:rPr>
        <w:t xml:space="preserve"> Higher-gradient stretches with extensive gravel riffles and pools held mudminnow, </w:t>
      </w:r>
      <w:proofErr w:type="spellStart"/>
      <w:r w:rsidRPr="00C84F94">
        <w:rPr>
          <w:rFonts w:ascii="Arial" w:hAnsi="Arial" w:cs="Arial"/>
          <w:sz w:val="22"/>
          <w:szCs w:val="22"/>
        </w:rPr>
        <w:t>hornyhead</w:t>
      </w:r>
      <w:proofErr w:type="spellEnd"/>
      <w:r w:rsidRPr="00C84F94">
        <w:rPr>
          <w:rFonts w:ascii="Arial" w:hAnsi="Arial" w:cs="Arial"/>
          <w:sz w:val="22"/>
          <w:szCs w:val="22"/>
        </w:rPr>
        <w:t xml:space="preserve"> chub, silver shiner, </w:t>
      </w:r>
      <w:proofErr w:type="spellStart"/>
      <w:r w:rsidRPr="00C84F94">
        <w:rPr>
          <w:rFonts w:ascii="Arial" w:hAnsi="Arial" w:cs="Arial"/>
          <w:sz w:val="22"/>
          <w:szCs w:val="22"/>
        </w:rPr>
        <w:t>rosyface</w:t>
      </w:r>
      <w:proofErr w:type="spellEnd"/>
      <w:r w:rsidRPr="00C84F94">
        <w:rPr>
          <w:rFonts w:ascii="Arial" w:hAnsi="Arial" w:cs="Arial"/>
          <w:sz w:val="22"/>
          <w:szCs w:val="22"/>
        </w:rPr>
        <w:t xml:space="preserve"> shiner, common shiner, lake chubsucker, northern hog sucker, golden redhorse, black redhorse, yellow bullhead, stonecat, tadpole madtom, brindled madtom, </w:t>
      </w:r>
      <w:proofErr w:type="spellStart"/>
      <w:r w:rsidRPr="00C84F94">
        <w:rPr>
          <w:rFonts w:ascii="Arial" w:hAnsi="Arial" w:cs="Arial"/>
          <w:sz w:val="22"/>
          <w:szCs w:val="22"/>
        </w:rPr>
        <w:t>longear</w:t>
      </w:r>
      <w:proofErr w:type="spellEnd"/>
      <w:r w:rsidRPr="00C84F94">
        <w:rPr>
          <w:rFonts w:ascii="Arial" w:hAnsi="Arial" w:cs="Arial"/>
          <w:sz w:val="22"/>
          <w:szCs w:val="22"/>
        </w:rPr>
        <w:t xml:space="preserve"> sunfish, rock bass, smallmouth bass, rainbow darter, fantail darter, and greenside darter.  </w:t>
      </w:r>
    </w:p>
    <w:p w14:paraId="70679DFB" w14:textId="50486CCB" w:rsidR="008B4D33" w:rsidRPr="00C84F94" w:rsidRDefault="008B4D33" w:rsidP="006E5D33">
      <w:pPr>
        <w:spacing w:before="100" w:beforeAutospacing="1" w:after="100" w:afterAutospacing="1"/>
        <w:rPr>
          <w:rFonts w:ascii="Arial" w:hAnsi="Arial" w:cs="Arial"/>
          <w:sz w:val="22"/>
          <w:szCs w:val="22"/>
        </w:rPr>
      </w:pPr>
      <w:r w:rsidRPr="00C84F94">
        <w:rPr>
          <w:rFonts w:ascii="Arial" w:hAnsi="Arial" w:cs="Arial"/>
          <w:sz w:val="22"/>
          <w:szCs w:val="22"/>
        </w:rPr>
        <w:t>Vegetation-depend</w:t>
      </w:r>
      <w:r>
        <w:rPr>
          <w:rFonts w:ascii="Arial" w:hAnsi="Arial" w:cs="Arial"/>
          <w:sz w:val="22"/>
          <w:szCs w:val="22"/>
        </w:rPr>
        <w:t>e</w:t>
      </w:r>
      <w:r w:rsidRPr="00C84F94">
        <w:rPr>
          <w:rFonts w:ascii="Arial" w:hAnsi="Arial" w:cs="Arial"/>
          <w:sz w:val="22"/>
          <w:szCs w:val="22"/>
        </w:rPr>
        <w:t xml:space="preserve">nt mud pickerel, northern pike, </w:t>
      </w:r>
      <w:proofErr w:type="spellStart"/>
      <w:r w:rsidRPr="00C84F94">
        <w:rPr>
          <w:rFonts w:ascii="Arial" w:hAnsi="Arial" w:cs="Arial"/>
          <w:sz w:val="22"/>
          <w:szCs w:val="22"/>
        </w:rPr>
        <w:t>blackstripe</w:t>
      </w:r>
      <w:proofErr w:type="spellEnd"/>
      <w:r w:rsidRPr="00C84F94">
        <w:rPr>
          <w:rFonts w:ascii="Arial" w:hAnsi="Arial" w:cs="Arial"/>
          <w:sz w:val="22"/>
          <w:szCs w:val="22"/>
        </w:rPr>
        <w:t xml:space="preserve"> topminnow, and least darter were also present.</w:t>
      </w:r>
      <w:r>
        <w:rPr>
          <w:rFonts w:ascii="Arial" w:hAnsi="Arial" w:cs="Arial"/>
          <w:sz w:val="22"/>
          <w:szCs w:val="22"/>
        </w:rPr>
        <w:t xml:space="preserve"> </w:t>
      </w:r>
      <w:r w:rsidRPr="00C84F94">
        <w:rPr>
          <w:rFonts w:ascii="Arial" w:hAnsi="Arial" w:cs="Arial"/>
          <w:sz w:val="22"/>
          <w:szCs w:val="22"/>
        </w:rPr>
        <w:t>Most common in the faster flowing, low gradient stretches connecting natural lakes were white sucker, largemouth bass, bluegill, pumpkinseed, Johnny darter, logperch, and yellow perch.</w:t>
      </w:r>
      <w:r>
        <w:rPr>
          <w:rFonts w:ascii="Arial" w:hAnsi="Arial" w:cs="Arial"/>
          <w:sz w:val="22"/>
          <w:szCs w:val="22"/>
        </w:rPr>
        <w:t xml:space="preserve"> </w:t>
      </w:r>
    </w:p>
    <w:p w14:paraId="5224A64F" w14:textId="7E29571F" w:rsidR="008B4D33" w:rsidRDefault="008B4D33" w:rsidP="006E5D33">
      <w:pPr>
        <w:autoSpaceDE w:val="0"/>
        <w:autoSpaceDN w:val="0"/>
        <w:adjustRightInd w:val="0"/>
        <w:rPr>
          <w:rFonts w:ascii="Arial" w:hAnsi="Arial" w:cs="Arial"/>
          <w:sz w:val="22"/>
          <w:szCs w:val="22"/>
        </w:rPr>
      </w:pPr>
      <w:r>
        <w:rPr>
          <w:rFonts w:ascii="Arial" w:hAnsi="Arial" w:cs="Arial"/>
          <w:sz w:val="22"/>
          <w:szCs w:val="22"/>
        </w:rPr>
        <w:t xml:space="preserve">Today, the Huron River throughout most of the Watershed area is considered to be a good smallmouth bass recreational fishery and attracts many shoreline anglers and </w:t>
      </w:r>
      <w:r>
        <w:rPr>
          <w:rFonts w:ascii="Arial" w:hAnsi="Arial" w:cs="Arial"/>
          <w:sz w:val="22"/>
          <w:szCs w:val="22"/>
        </w:rPr>
        <w:lastRenderedPageBreak/>
        <w:t xml:space="preserve">occasional wading anglers. Ford and Belleville Lake are known for walleye fishing and highly fished by shoreline anglers and by boaters. Details are available in </w:t>
      </w:r>
      <w:proofErr w:type="spellStart"/>
      <w:r w:rsidRPr="00393D89">
        <w:rPr>
          <w:rFonts w:ascii="Arial" w:hAnsi="Arial" w:cs="Arial"/>
          <w:i/>
          <w:iCs/>
          <w:sz w:val="22"/>
          <w:szCs w:val="22"/>
        </w:rPr>
        <w:t>Creekshed</w:t>
      </w:r>
      <w:proofErr w:type="spellEnd"/>
      <w:r w:rsidRPr="00393D89">
        <w:rPr>
          <w:rFonts w:ascii="Arial" w:hAnsi="Arial" w:cs="Arial"/>
          <w:i/>
          <w:iCs/>
          <w:sz w:val="22"/>
          <w:szCs w:val="22"/>
        </w:rPr>
        <w:t xml:space="preserve"> Current Conditions</w:t>
      </w:r>
      <w:r>
        <w:rPr>
          <w:rFonts w:ascii="Arial" w:hAnsi="Arial" w:cs="Arial"/>
          <w:sz w:val="22"/>
          <w:szCs w:val="22"/>
        </w:rPr>
        <w:t xml:space="preserve">, Section 2.4. </w:t>
      </w:r>
    </w:p>
    <w:p w14:paraId="630D15EA" w14:textId="77777777" w:rsidR="008B4D33" w:rsidRDefault="008B4D33" w:rsidP="006E5D33">
      <w:pPr>
        <w:autoSpaceDE w:val="0"/>
        <w:autoSpaceDN w:val="0"/>
        <w:adjustRightInd w:val="0"/>
        <w:rPr>
          <w:rFonts w:ascii="Arial" w:hAnsi="Arial" w:cs="Arial"/>
          <w:sz w:val="22"/>
          <w:szCs w:val="22"/>
        </w:rPr>
      </w:pPr>
    </w:p>
    <w:p w14:paraId="080E9D75" w14:textId="5491C4EF" w:rsidR="008B4D33" w:rsidRDefault="008B4D33" w:rsidP="006E5D33">
      <w:pPr>
        <w:autoSpaceDE w:val="0"/>
        <w:autoSpaceDN w:val="0"/>
        <w:adjustRightInd w:val="0"/>
        <w:rPr>
          <w:rFonts w:ascii="Arial" w:hAnsi="Arial" w:cs="Arial"/>
          <w:sz w:val="22"/>
          <w:szCs w:val="22"/>
        </w:rPr>
      </w:pPr>
      <w:r w:rsidRPr="00C84F94">
        <w:rPr>
          <w:rFonts w:ascii="Arial" w:hAnsi="Arial" w:cs="Arial"/>
          <w:sz w:val="22"/>
          <w:szCs w:val="22"/>
        </w:rPr>
        <w:t xml:space="preserve">The Huron </w:t>
      </w:r>
      <w:r>
        <w:rPr>
          <w:rFonts w:ascii="Arial" w:hAnsi="Arial" w:cs="Arial"/>
          <w:sz w:val="22"/>
          <w:szCs w:val="22"/>
        </w:rPr>
        <w:t>River</w:t>
      </w:r>
      <w:r w:rsidRPr="00C84F94">
        <w:rPr>
          <w:rFonts w:ascii="Arial" w:hAnsi="Arial" w:cs="Arial"/>
          <w:sz w:val="22"/>
          <w:szCs w:val="22"/>
        </w:rPr>
        <w:t xml:space="preserve"> tributaries in the</w:t>
      </w:r>
      <w:r w:rsidRPr="00C84F94" w:rsidDel="00816260">
        <w:rPr>
          <w:rFonts w:ascii="Arial" w:hAnsi="Arial" w:cs="Arial"/>
          <w:sz w:val="22"/>
          <w:szCs w:val="22"/>
        </w:rPr>
        <w:t xml:space="preserve"> </w:t>
      </w:r>
      <w:r w:rsidRPr="00C84F94">
        <w:rPr>
          <w:rFonts w:ascii="Arial" w:hAnsi="Arial" w:cs="Arial"/>
          <w:sz w:val="22"/>
          <w:szCs w:val="22"/>
        </w:rPr>
        <w:t xml:space="preserve">Watershed are considered mostly </w:t>
      </w:r>
      <w:r>
        <w:rPr>
          <w:rFonts w:ascii="Arial" w:hAnsi="Arial" w:cs="Arial"/>
          <w:sz w:val="22"/>
          <w:szCs w:val="22"/>
        </w:rPr>
        <w:t>to be a</w:t>
      </w:r>
      <w:r w:rsidRPr="00C84F94">
        <w:rPr>
          <w:rFonts w:ascii="Arial" w:hAnsi="Arial" w:cs="Arial"/>
          <w:sz w:val="22"/>
          <w:szCs w:val="22"/>
        </w:rPr>
        <w:t xml:space="preserve"> </w:t>
      </w:r>
      <w:r>
        <w:rPr>
          <w:rFonts w:ascii="Arial" w:hAnsi="Arial" w:cs="Arial"/>
          <w:sz w:val="22"/>
          <w:szCs w:val="22"/>
        </w:rPr>
        <w:t>“</w:t>
      </w:r>
      <w:r w:rsidRPr="00C84F94">
        <w:rPr>
          <w:rFonts w:ascii="Arial" w:hAnsi="Arial" w:cs="Arial"/>
          <w:sz w:val="22"/>
          <w:szCs w:val="22"/>
        </w:rPr>
        <w:t>second quality</w:t>
      </w:r>
      <w:r>
        <w:rPr>
          <w:rFonts w:ascii="Arial" w:hAnsi="Arial" w:cs="Arial"/>
          <w:sz w:val="22"/>
          <w:szCs w:val="22"/>
        </w:rPr>
        <w:t xml:space="preserve"> warmwater fishery”</w:t>
      </w:r>
      <w:r w:rsidRPr="00C84F94">
        <w:rPr>
          <w:rFonts w:ascii="Arial" w:hAnsi="Arial" w:cs="Arial"/>
          <w:sz w:val="22"/>
          <w:szCs w:val="22"/>
        </w:rPr>
        <w:t xml:space="preserve">. Second quality warmwater feeder streams are those that contain significant populations of warmwater fish, but game fish populations are limited by such factors as pollution, competition, or inadequate natural reproduction. Small streams are often difficult to fish because of their small size; </w:t>
      </w:r>
      <w:proofErr w:type="gramStart"/>
      <w:r w:rsidRPr="00C84F94">
        <w:rPr>
          <w:rFonts w:ascii="Arial" w:hAnsi="Arial" w:cs="Arial"/>
          <w:sz w:val="22"/>
          <w:szCs w:val="22"/>
        </w:rPr>
        <w:t>typically</w:t>
      </w:r>
      <w:proofErr w:type="gramEnd"/>
      <w:r w:rsidRPr="00C84F94">
        <w:rPr>
          <w:rFonts w:ascii="Arial" w:hAnsi="Arial" w:cs="Arial"/>
          <w:sz w:val="22"/>
          <w:szCs w:val="22"/>
        </w:rPr>
        <w:t xml:space="preserve"> less than 15 feet wide.</w:t>
      </w:r>
      <w:r w:rsidRPr="00C84F94">
        <w:rPr>
          <w:rFonts w:ascii="Arial" w:hAnsi="Arial" w:cs="Arial"/>
          <w:sz w:val="22"/>
          <w:szCs w:val="22"/>
          <w:vertAlign w:val="superscript"/>
        </w:rPr>
        <w:endnoteReference w:id="33"/>
      </w:r>
    </w:p>
    <w:p w14:paraId="33BB571D" w14:textId="77777777" w:rsidR="008B4D33" w:rsidRDefault="008B4D33" w:rsidP="006E5D33">
      <w:pPr>
        <w:autoSpaceDE w:val="0"/>
        <w:autoSpaceDN w:val="0"/>
        <w:adjustRightInd w:val="0"/>
        <w:rPr>
          <w:rFonts w:ascii="Arial" w:hAnsi="Arial" w:cs="Arial"/>
          <w:sz w:val="22"/>
          <w:szCs w:val="22"/>
        </w:rPr>
      </w:pPr>
    </w:p>
    <w:p w14:paraId="52A01E7D" w14:textId="77777777" w:rsidR="008B4D33" w:rsidRDefault="008B4D33" w:rsidP="006E5D33">
      <w:pPr>
        <w:autoSpaceDE w:val="0"/>
        <w:autoSpaceDN w:val="0"/>
        <w:adjustRightInd w:val="0"/>
        <w:rPr>
          <w:rFonts w:ascii="Arial" w:hAnsi="Arial" w:cs="Arial"/>
          <w:sz w:val="22"/>
          <w:szCs w:val="22"/>
        </w:rPr>
      </w:pPr>
    </w:p>
    <w:p w14:paraId="1DE433EA" w14:textId="19CF019E" w:rsidR="008B4D33" w:rsidRPr="00F85639" w:rsidRDefault="008B4D33" w:rsidP="006A304B">
      <w:pPr>
        <w:pStyle w:val="WMP-header3"/>
        <w:outlineLvl w:val="2"/>
      </w:pPr>
      <w:bookmarkStart w:id="33" w:name="_Toc111629337"/>
      <w:r w:rsidRPr="00F85639">
        <w:t xml:space="preserve">2.3.3.  </w:t>
      </w:r>
      <w:bookmarkEnd w:id="33"/>
      <w:r w:rsidRPr="00F85639">
        <w:t>Limnology</w:t>
      </w:r>
    </w:p>
    <w:p w14:paraId="56A864BC" w14:textId="36BCFB01" w:rsidR="008B4D33" w:rsidRPr="00F85639" w:rsidRDefault="008B4D33" w:rsidP="006E5D33">
      <w:pPr>
        <w:rPr>
          <w:rFonts w:ascii="Arial" w:hAnsi="Arial" w:cs="Arial"/>
          <w:sz w:val="22"/>
          <w:szCs w:val="22"/>
        </w:rPr>
      </w:pPr>
      <w:r w:rsidRPr="00F85639">
        <w:rPr>
          <w:rFonts w:ascii="Arial" w:hAnsi="Arial" w:cs="Arial"/>
          <w:sz w:val="22"/>
          <w:szCs w:val="22"/>
        </w:rPr>
        <w:t xml:space="preserve">Limnology is the physical, chemical, and biological science of study of freshwater systems, including lakes. Ford and Belleville Lakes are very important features in this Watershed.  Thus, a general review of key lake processes and sources of water quality degradation are pertinent here. </w:t>
      </w:r>
    </w:p>
    <w:p w14:paraId="152D5A24" w14:textId="77777777" w:rsidR="008B4D33" w:rsidRDefault="008B4D33" w:rsidP="006E5D33">
      <w:pPr>
        <w:rPr>
          <w:rFonts w:ascii="Arial" w:hAnsi="Arial" w:cs="Arial"/>
          <w:sz w:val="22"/>
          <w:szCs w:val="22"/>
          <w:highlight w:val="yellow"/>
        </w:rPr>
      </w:pPr>
    </w:p>
    <w:p w14:paraId="18A6A504" w14:textId="2E6B6A21" w:rsidR="008B4D33" w:rsidRPr="00F85639" w:rsidRDefault="008B4D33" w:rsidP="006E5D33">
      <w:pPr>
        <w:rPr>
          <w:rFonts w:ascii="Arial" w:hAnsi="Arial" w:cs="Arial"/>
          <w:i/>
          <w:iCs/>
          <w:sz w:val="22"/>
          <w:szCs w:val="22"/>
        </w:rPr>
      </w:pPr>
      <w:r w:rsidRPr="00F85639">
        <w:rPr>
          <w:rFonts w:ascii="Arial" w:hAnsi="Arial" w:cs="Arial"/>
          <w:i/>
          <w:iCs/>
          <w:sz w:val="22"/>
          <w:szCs w:val="22"/>
        </w:rPr>
        <w:t>Lake Productivity</w:t>
      </w:r>
    </w:p>
    <w:p w14:paraId="07E7C264" w14:textId="77777777" w:rsidR="008B4D33" w:rsidRPr="00F85639" w:rsidRDefault="008B4D33" w:rsidP="006E5D33">
      <w:pPr>
        <w:rPr>
          <w:rFonts w:ascii="Arial" w:hAnsi="Arial" w:cs="Arial"/>
          <w:sz w:val="22"/>
          <w:szCs w:val="22"/>
        </w:rPr>
      </w:pPr>
      <w:r w:rsidRPr="00F85639">
        <w:rPr>
          <w:rFonts w:ascii="Arial" w:hAnsi="Arial" w:cs="Arial"/>
          <w:sz w:val="22"/>
          <w:szCs w:val="22"/>
        </w:rPr>
        <w:t>While numerous water quality parameters are studied to determine the trophic status and water quality status of lakes, in-lake phosphorus concentrations are often the determining factor. Trophic status is a useful means of describing the water quality of a lake since it defines the expected productivity and biotic composition of the system.  While many factors influence the overall trophic status of a lake, the interaction of climate, watershed characteristics (e.g., soils), and human influences are the most dominant (Figure 2.19).</w:t>
      </w:r>
      <w:r w:rsidRPr="00F85639">
        <w:rPr>
          <w:rFonts w:ascii="Arial" w:hAnsi="Arial" w:cs="Arial"/>
          <w:b/>
          <w:bCs/>
          <w:sz w:val="20"/>
          <w:szCs w:val="20"/>
          <w:vertAlign w:val="superscript"/>
        </w:rPr>
        <w:t xml:space="preserve"> </w:t>
      </w:r>
      <w:r w:rsidRPr="00F85639">
        <w:rPr>
          <w:rFonts w:ascii="Arial" w:hAnsi="Arial" w:cs="Arial"/>
          <w:b/>
          <w:bCs/>
          <w:sz w:val="20"/>
          <w:szCs w:val="20"/>
          <w:vertAlign w:val="superscript"/>
        </w:rPr>
        <w:endnoteReference w:id="34"/>
      </w:r>
      <w:r w:rsidRPr="00F85639">
        <w:rPr>
          <w:rFonts w:ascii="Arial" w:hAnsi="Arial" w:cs="Arial"/>
          <w:sz w:val="22"/>
          <w:szCs w:val="22"/>
        </w:rPr>
        <w:t xml:space="preserve">  </w:t>
      </w:r>
    </w:p>
    <w:p w14:paraId="6119295A" w14:textId="77777777" w:rsidR="008B4D33" w:rsidRPr="00ED1E95" w:rsidRDefault="008B4D33" w:rsidP="006E5D33">
      <w:pPr>
        <w:rPr>
          <w:rFonts w:ascii="Arial" w:hAnsi="Arial" w:cs="Arial"/>
          <w:sz w:val="22"/>
          <w:szCs w:val="22"/>
          <w:highlight w:val="yellow"/>
        </w:rPr>
      </w:pPr>
      <w:r w:rsidRPr="00ED1E95">
        <w:rPr>
          <w:rFonts w:ascii="Arial" w:hAnsi="Arial" w:cs="Arial"/>
          <w:sz w:val="22"/>
          <w:szCs w:val="22"/>
          <w:highlight w:val="yellow"/>
        </w:rPr>
        <w:t xml:space="preserve"> </w:t>
      </w:r>
    </w:p>
    <w:p w14:paraId="1D545649" w14:textId="75CBBA76" w:rsidR="008B4D33" w:rsidRPr="00F53026" w:rsidRDefault="008B4D33" w:rsidP="006E5D33">
      <w:pPr>
        <w:rPr>
          <w:rFonts w:ascii="Arial" w:hAnsi="Arial" w:cs="Arial"/>
          <w:sz w:val="22"/>
          <w:szCs w:val="22"/>
        </w:rPr>
      </w:pPr>
      <w:r w:rsidRPr="00F53026">
        <w:rPr>
          <w:rFonts w:ascii="Arial" w:hAnsi="Arial" w:cs="Arial"/>
          <w:sz w:val="22"/>
          <w:szCs w:val="22"/>
        </w:rPr>
        <w:t xml:space="preserve">Generally, a lake with concentrations of phosphorus less than 0.01 mg/L will be considered oligotrophic. A lake will be considered mesotrophic at concentrations of </w:t>
      </w:r>
      <w:bookmarkStart w:id="34" w:name="OLE_LINK7"/>
      <w:r w:rsidRPr="00F53026">
        <w:rPr>
          <w:rFonts w:ascii="Arial" w:hAnsi="Arial" w:cs="Arial"/>
          <w:sz w:val="22"/>
          <w:szCs w:val="22"/>
        </w:rPr>
        <w:t xml:space="preserve">0.01 mg/L to 0.02 mg/L </w:t>
      </w:r>
      <w:bookmarkEnd w:id="34"/>
      <w:r w:rsidRPr="00F53026">
        <w:rPr>
          <w:rFonts w:ascii="Arial" w:hAnsi="Arial" w:cs="Arial"/>
          <w:sz w:val="22"/>
          <w:szCs w:val="22"/>
        </w:rPr>
        <w:t>and eutrophic to hypereutrophic at or greater than 0.02 mg/L or 0.03 mg/L.</w:t>
      </w:r>
      <w:r w:rsidRPr="00F53026">
        <w:rPr>
          <w:rFonts w:ascii="Arial" w:hAnsi="Arial" w:cs="Arial"/>
          <w:sz w:val="22"/>
          <w:szCs w:val="22"/>
          <w:vertAlign w:val="superscript"/>
        </w:rPr>
        <w:endnoteReference w:id="35"/>
      </w:r>
      <w:r w:rsidRPr="00F53026">
        <w:rPr>
          <w:rFonts w:ascii="Arial" w:hAnsi="Arial" w:cs="Arial"/>
          <w:sz w:val="22"/>
          <w:szCs w:val="22"/>
        </w:rPr>
        <w:t xml:space="preserve">  Oligotrophic and mesotrophic lakes normally support cold- or cool- water fisheries (e.g., trout, some species of bass) and numerous recreational activities. The water in these lakes is also often suitable for drinking water supply. Eutrophic lakes often support warm water fisheries (</w:t>
      </w:r>
      <w:proofErr w:type="gramStart"/>
      <w:r w:rsidRPr="00F53026">
        <w:rPr>
          <w:rFonts w:ascii="Arial" w:hAnsi="Arial" w:cs="Arial"/>
          <w:sz w:val="22"/>
          <w:szCs w:val="22"/>
        </w:rPr>
        <w:t>e.g.</w:t>
      </w:r>
      <w:proofErr w:type="gramEnd"/>
      <w:r w:rsidRPr="00F53026">
        <w:rPr>
          <w:rFonts w:ascii="Arial" w:hAnsi="Arial" w:cs="Arial"/>
          <w:sz w:val="22"/>
          <w:szCs w:val="22"/>
        </w:rPr>
        <w:t xml:space="preserve"> bass, bluegill, catfish, carp, etc.) and have a more limited recreational value compared to oligotrophic or mesotrophic lakes because of periodic nuisance algal blooms and aquatic macrophyte growth. Hypereutrophic lakes, which experience frequent and intense nuisance algal blooms, do not ordinarily support cold or warm water fisheries and offer little or no recreational value. In addition, these lakes often exhibit </w:t>
      </w:r>
      <w:proofErr w:type="gramStart"/>
      <w:r w:rsidRPr="00F53026">
        <w:rPr>
          <w:rFonts w:ascii="Arial" w:hAnsi="Arial" w:cs="Arial"/>
          <w:sz w:val="22"/>
          <w:szCs w:val="22"/>
        </w:rPr>
        <w:t>decrease</w:t>
      </w:r>
      <w:proofErr w:type="gramEnd"/>
      <w:r w:rsidRPr="00F53026">
        <w:rPr>
          <w:rFonts w:ascii="Arial" w:hAnsi="Arial" w:cs="Arial"/>
          <w:sz w:val="22"/>
          <w:szCs w:val="22"/>
        </w:rPr>
        <w:t xml:space="preserve"> in open water surface areas because of layers of algal and aquatic plant masses.</w:t>
      </w:r>
    </w:p>
    <w:p w14:paraId="477EFA46" w14:textId="77777777" w:rsidR="008B4D33" w:rsidRPr="00ED1E95" w:rsidRDefault="008B4D33" w:rsidP="006E5D33">
      <w:pPr>
        <w:rPr>
          <w:rFonts w:ascii="Arial" w:hAnsi="Arial" w:cs="Arial"/>
          <w:sz w:val="22"/>
          <w:szCs w:val="22"/>
          <w:highlight w:val="yellow"/>
        </w:rPr>
      </w:pPr>
    </w:p>
    <w:p w14:paraId="6D541B68" w14:textId="12F16658" w:rsidR="008B4D33" w:rsidRPr="001238D9" w:rsidRDefault="008B4D33" w:rsidP="006E5D33">
      <w:pPr>
        <w:rPr>
          <w:rFonts w:ascii="Arial" w:hAnsi="Arial" w:cs="Arial"/>
          <w:sz w:val="22"/>
          <w:szCs w:val="22"/>
        </w:rPr>
      </w:pPr>
      <w:r w:rsidRPr="00F53026">
        <w:rPr>
          <w:rFonts w:ascii="Arial" w:hAnsi="Arial" w:cs="Arial"/>
          <w:sz w:val="22"/>
          <w:szCs w:val="22"/>
        </w:rPr>
        <w:t xml:space="preserve">Temperate zone lakes, like those in the watershed, experience changes in water chemistry and biology throughout the year. As winter ice thaws in the spring, </w:t>
      </w:r>
      <w:proofErr w:type="gramStart"/>
      <w:r w:rsidRPr="00F53026">
        <w:rPr>
          <w:rFonts w:ascii="Arial" w:hAnsi="Arial" w:cs="Arial"/>
          <w:sz w:val="22"/>
          <w:szCs w:val="22"/>
        </w:rPr>
        <w:t>winds</w:t>
      </w:r>
      <w:proofErr w:type="gramEnd"/>
      <w:r w:rsidRPr="00F53026">
        <w:rPr>
          <w:rFonts w:ascii="Arial" w:hAnsi="Arial" w:cs="Arial"/>
          <w:sz w:val="22"/>
          <w:szCs w:val="22"/>
        </w:rPr>
        <w:t xml:space="preserve"> and temperature </w:t>
      </w:r>
      <w:r w:rsidRPr="001238D9">
        <w:rPr>
          <w:rFonts w:ascii="Arial" w:hAnsi="Arial" w:cs="Arial"/>
          <w:sz w:val="22"/>
          <w:szCs w:val="22"/>
        </w:rPr>
        <w:t xml:space="preserve">changes in surface waters cause mixing within the water column. The result is water with temperature, dissolved oxygen, and other variables that are essentially equal at all depths. This event is often referred to as a spring turnover. In the summer months, warm air temperatures interact with surface waters causing stratification or layering of lake water due to water temperature and density relationships. During this time of thermal stratification, little mixing of lake water occurs. Lakes that receive increased pollutant loading can exhibit quantifiable reductions in water quality at this </w:t>
      </w:r>
      <w:r w:rsidRPr="001238D9">
        <w:rPr>
          <w:rFonts w:ascii="Arial" w:hAnsi="Arial" w:cs="Arial"/>
          <w:sz w:val="22"/>
          <w:szCs w:val="22"/>
        </w:rPr>
        <w:lastRenderedPageBreak/>
        <w:t>time because of the lack of oxygen in the bottom water. As fall approaches, cooler air temperatures increase surface water density and mixing establishes uniformity within the water column in what is termed as fall turnover. During the winter months, the lake may stratify again.</w:t>
      </w:r>
    </w:p>
    <w:p w14:paraId="19B16A24" w14:textId="77777777" w:rsidR="008B4D33" w:rsidRPr="001238D9" w:rsidRDefault="008B4D33" w:rsidP="006E5D33">
      <w:pPr>
        <w:rPr>
          <w:rFonts w:ascii="Arial" w:hAnsi="Arial" w:cs="Arial"/>
          <w:sz w:val="22"/>
          <w:szCs w:val="22"/>
        </w:rPr>
      </w:pPr>
    </w:p>
    <w:p w14:paraId="613FC3D0" w14:textId="36793A0D" w:rsidR="008B4D33" w:rsidRPr="001238D9" w:rsidRDefault="008B4D33" w:rsidP="006E5D33">
      <w:pPr>
        <w:rPr>
          <w:rFonts w:ascii="Arial" w:hAnsi="Arial" w:cs="Arial"/>
          <w:sz w:val="22"/>
          <w:szCs w:val="22"/>
        </w:rPr>
      </w:pPr>
      <w:r w:rsidRPr="001238D9">
        <w:rPr>
          <w:rFonts w:ascii="Arial" w:hAnsi="Arial" w:cs="Arial"/>
          <w:sz w:val="22"/>
          <w:szCs w:val="22"/>
        </w:rPr>
        <w:t>Lakeshore Erosion and Development</w:t>
      </w:r>
    </w:p>
    <w:p w14:paraId="687959E0" w14:textId="77777777" w:rsidR="008B4D33" w:rsidRPr="001238D9" w:rsidRDefault="008B4D33" w:rsidP="006E5D33">
      <w:pPr>
        <w:rPr>
          <w:rFonts w:ascii="Arial" w:hAnsi="Arial" w:cs="Arial"/>
          <w:sz w:val="22"/>
          <w:szCs w:val="22"/>
          <w:highlight w:val="yellow"/>
        </w:rPr>
      </w:pPr>
    </w:p>
    <w:p w14:paraId="357EEF8B" w14:textId="2D2F3671" w:rsidR="008B4D33" w:rsidRPr="001238D9" w:rsidRDefault="008B4D33" w:rsidP="006E5D33">
      <w:pPr>
        <w:rPr>
          <w:rFonts w:ascii="Arial" w:hAnsi="Arial" w:cs="Arial"/>
          <w:sz w:val="22"/>
          <w:szCs w:val="22"/>
        </w:rPr>
      </w:pPr>
      <w:r w:rsidRPr="001238D9">
        <w:rPr>
          <w:rFonts w:ascii="Arial" w:hAnsi="Arial" w:cs="Arial"/>
          <w:sz w:val="22"/>
          <w:szCs w:val="22"/>
        </w:rPr>
        <w:t xml:space="preserve">Healthy shorelines are an important and valuable component of the lake ecosystem. The shoreline area is a transition zone between water and land and is a very diverse environment that provides habitat for a great variety of fish, plants, birds, and other animals. A healthy shoreline area is also essential for maintaining water quality, slowing runoff, and limiting erosion. </w:t>
      </w:r>
      <w:r w:rsidRPr="001238D9">
        <w:rPr>
          <w:rStyle w:val="normaltextrun"/>
          <w:rFonts w:ascii="Arial" w:hAnsi="Arial" w:cs="Arial"/>
          <w:color w:val="000000"/>
          <w:sz w:val="22"/>
          <w:szCs w:val="22"/>
          <w:shd w:val="clear" w:color="auto" w:fill="FFFFFF"/>
        </w:rPr>
        <w:t>Riparian areas also provide a critical influx of woody debris to our rivers and lakes; dead trees and branches along the shoreline provide critical fish habitat that is necessary for healthy fisheries and a dynamic ecosystem. Woody debris also reduces wave action against the shoreline, allowing aquatic plants to take root and provide more diverse habitat for other species to thrive.</w:t>
      </w:r>
      <w:r w:rsidRPr="001238D9">
        <w:rPr>
          <w:rFonts w:ascii="Arial" w:hAnsi="Arial" w:cs="Arial"/>
          <w:sz w:val="22"/>
          <w:szCs w:val="22"/>
        </w:rPr>
        <w:t xml:space="preserve"> However, extensive development, often combined with poor shoreline management practices, can </w:t>
      </w:r>
      <w:proofErr w:type="gramStart"/>
      <w:r w:rsidRPr="001238D9">
        <w:rPr>
          <w:rFonts w:ascii="Arial" w:hAnsi="Arial" w:cs="Arial"/>
          <w:sz w:val="22"/>
          <w:szCs w:val="22"/>
        </w:rPr>
        <w:t>reduce</w:t>
      </w:r>
      <w:proofErr w:type="gramEnd"/>
      <w:r w:rsidRPr="001238D9">
        <w:rPr>
          <w:rFonts w:ascii="Arial" w:hAnsi="Arial" w:cs="Arial"/>
          <w:sz w:val="22"/>
          <w:szCs w:val="22"/>
        </w:rPr>
        <w:t xml:space="preserve"> or eliminate natural shoreline habitat and replace it with lawn and artificial erosion control such as seawalls and rock. As a result, shoreline vegetation is dramatically altered, habitat is lost, and water quality declines. </w:t>
      </w:r>
    </w:p>
    <w:p w14:paraId="7E66307D" w14:textId="77777777" w:rsidR="008B4D33" w:rsidRPr="001238D9" w:rsidRDefault="008B4D33" w:rsidP="006E5D33">
      <w:pPr>
        <w:rPr>
          <w:rFonts w:ascii="Arial" w:hAnsi="Arial" w:cs="Arial"/>
          <w:sz w:val="22"/>
          <w:szCs w:val="22"/>
        </w:rPr>
      </w:pPr>
    </w:p>
    <w:p w14:paraId="71F208ED" w14:textId="5E49E1A0" w:rsidR="008B4D33" w:rsidRPr="001238D9" w:rsidRDefault="008B4D33" w:rsidP="006E5D33">
      <w:pPr>
        <w:rPr>
          <w:rFonts w:ascii="Arial" w:hAnsi="Arial" w:cs="Arial"/>
          <w:sz w:val="22"/>
          <w:szCs w:val="22"/>
        </w:rPr>
      </w:pPr>
      <w:r w:rsidRPr="001238D9">
        <w:rPr>
          <w:rFonts w:ascii="Arial" w:hAnsi="Arial" w:cs="Arial"/>
          <w:sz w:val="22"/>
          <w:szCs w:val="22"/>
        </w:rPr>
        <w:t xml:space="preserve">Ford and Belleville Lakes are known to have areas of high bank erosion (likely caused by shoreline development and exasperated by steep bank slopes). A DEQ survey was conducted in 2012 on </w:t>
      </w:r>
      <w:r>
        <w:rPr>
          <w:rFonts w:ascii="Arial" w:hAnsi="Arial" w:cs="Arial"/>
          <w:sz w:val="22"/>
          <w:szCs w:val="22"/>
        </w:rPr>
        <w:t xml:space="preserve">Ford and </w:t>
      </w:r>
      <w:r w:rsidRPr="001238D9">
        <w:rPr>
          <w:rFonts w:ascii="Arial" w:hAnsi="Arial" w:cs="Arial"/>
          <w:sz w:val="22"/>
          <w:szCs w:val="22"/>
        </w:rPr>
        <w:t>Belleville Lake</w:t>
      </w:r>
      <w:r>
        <w:rPr>
          <w:rFonts w:ascii="Arial" w:hAnsi="Arial" w:cs="Arial"/>
          <w:sz w:val="22"/>
          <w:szCs w:val="22"/>
        </w:rPr>
        <w:t>s</w:t>
      </w:r>
      <w:r w:rsidRPr="001238D9">
        <w:rPr>
          <w:rFonts w:ascii="Arial" w:hAnsi="Arial" w:cs="Arial"/>
          <w:sz w:val="22"/>
          <w:szCs w:val="22"/>
        </w:rPr>
        <w:t xml:space="preserve"> (details in Section 2.4.3.3), but no other known surveys have been conducted on either lake.</w:t>
      </w:r>
    </w:p>
    <w:p w14:paraId="6350771D" w14:textId="77777777" w:rsidR="008B4D33" w:rsidRPr="001238D9" w:rsidRDefault="008B4D33" w:rsidP="006E5D33">
      <w:pPr>
        <w:rPr>
          <w:rFonts w:ascii="Arial" w:hAnsi="Arial" w:cs="Arial"/>
          <w:sz w:val="22"/>
          <w:szCs w:val="22"/>
        </w:rPr>
      </w:pPr>
    </w:p>
    <w:p w14:paraId="7DA1BBA1" w14:textId="67581745" w:rsidR="008B4D33" w:rsidRPr="001238D9" w:rsidRDefault="008B4D33" w:rsidP="002A397E">
      <w:pPr>
        <w:rPr>
          <w:rFonts w:ascii="Arial" w:hAnsi="Arial" w:cs="Arial"/>
          <w:sz w:val="22"/>
          <w:szCs w:val="22"/>
        </w:rPr>
      </w:pPr>
      <w:r w:rsidRPr="001238D9">
        <w:rPr>
          <w:rFonts w:ascii="Arial" w:hAnsi="Arial" w:cs="Arial"/>
          <w:sz w:val="22"/>
          <w:szCs w:val="22"/>
        </w:rPr>
        <w:t>Exotic Invasive Plants</w:t>
      </w:r>
    </w:p>
    <w:p w14:paraId="3E92B5E6" w14:textId="77777777" w:rsidR="008B4D33" w:rsidRPr="001238D9" w:rsidRDefault="008B4D33" w:rsidP="002A397E">
      <w:pPr>
        <w:rPr>
          <w:rFonts w:ascii="Arial" w:hAnsi="Arial" w:cs="Arial"/>
          <w:sz w:val="22"/>
          <w:szCs w:val="22"/>
        </w:rPr>
      </w:pPr>
    </w:p>
    <w:p w14:paraId="7C462851" w14:textId="1F43243F" w:rsidR="002A397E" w:rsidRDefault="008B4D33" w:rsidP="002A397E">
      <w:pPr>
        <w:rPr>
          <w:rFonts w:ascii="Arial" w:hAnsi="Arial" w:cs="Arial"/>
          <w:sz w:val="22"/>
          <w:szCs w:val="22"/>
        </w:rPr>
      </w:pPr>
      <w:r w:rsidRPr="001238D9">
        <w:rPr>
          <w:rFonts w:ascii="Arial" w:hAnsi="Arial" w:cs="Arial"/>
          <w:sz w:val="22"/>
          <w:szCs w:val="22"/>
        </w:rPr>
        <w:t xml:space="preserve">Rooted aquatic plants are a natural and essential part of the lake, just as grasses, </w:t>
      </w:r>
      <w:proofErr w:type="spellStart"/>
      <w:r w:rsidRPr="001238D9">
        <w:rPr>
          <w:rFonts w:ascii="Arial" w:hAnsi="Arial" w:cs="Arial"/>
          <w:sz w:val="22"/>
          <w:szCs w:val="22"/>
        </w:rPr>
        <w:t>shru</w:t>
      </w:r>
      <w:proofErr w:type="spellEnd"/>
      <w:r>
        <w:rPr>
          <w:rStyle w:val="EndnoteReference"/>
          <w:rFonts w:ascii="Arial" w:hAnsi="Arial" w:cs="Arial"/>
          <w:sz w:val="22"/>
          <w:szCs w:val="22"/>
        </w:rPr>
        <w:endnoteReference w:id="36"/>
      </w:r>
      <w:r w:rsidRPr="001238D9">
        <w:rPr>
          <w:rFonts w:ascii="Arial" w:hAnsi="Arial" w:cs="Arial"/>
          <w:sz w:val="22"/>
          <w:szCs w:val="22"/>
        </w:rPr>
        <w:t>b</w:t>
      </w:r>
      <w:r w:rsidR="00F334A8" w:rsidRPr="001238D9">
        <w:rPr>
          <w:rFonts w:ascii="Arial" w:hAnsi="Arial" w:cs="Arial"/>
          <w:sz w:val="22"/>
          <w:szCs w:val="22"/>
        </w:rPr>
        <w:t>s and trees are a natural part of the land. However, sometimes a lake is invaded by an aquatic plant species that is not native to Michigan. Some of these exotic plants, like Curly-leaf pondweed, Eurasian milfoil, Starry stonewort, and European frog-bit can be extremely disruptive to a lake’s ecosystem and recreational activities. These exotic plants can take over a lake by crowding out beneficial native plant species. An overabundance of exotic species can also negatively affect fish populations and human recreation.</w:t>
      </w:r>
      <w:r w:rsidR="0082219F">
        <w:rPr>
          <w:rFonts w:ascii="Arial" w:hAnsi="Arial" w:cs="Arial"/>
          <w:sz w:val="22"/>
          <w:szCs w:val="22"/>
        </w:rPr>
        <w:t xml:space="preserve"> </w:t>
      </w:r>
    </w:p>
    <w:p w14:paraId="1B340617" w14:textId="62D9D8D0" w:rsidR="00F21D38" w:rsidRDefault="00F21D38" w:rsidP="002A397E">
      <w:pPr>
        <w:rPr>
          <w:rFonts w:ascii="Arial" w:hAnsi="Arial" w:cs="Arial"/>
          <w:sz w:val="22"/>
          <w:szCs w:val="22"/>
        </w:rPr>
      </w:pPr>
    </w:p>
    <w:p w14:paraId="36F354D3" w14:textId="33FB9081" w:rsidR="00C716B0" w:rsidRPr="00C716B0" w:rsidRDefault="00C716B0" w:rsidP="00C716B0">
      <w:pPr>
        <w:pStyle w:val="WMP-header4"/>
        <w:outlineLvl w:val="3"/>
        <w:rPr>
          <w:sz w:val="22"/>
        </w:rPr>
      </w:pPr>
      <w:r>
        <w:rPr>
          <w:sz w:val="22"/>
        </w:rPr>
        <w:t xml:space="preserve">Aquatic plants have not been well documented in Ford and Belleville Lakes (see section </w:t>
      </w:r>
      <w:r w:rsidRPr="00C716B0">
        <w:rPr>
          <w:sz w:val="22"/>
        </w:rPr>
        <w:t>2.4.2.9, Exotic Invasive Aquatic Plants</w:t>
      </w:r>
      <w:r>
        <w:rPr>
          <w:sz w:val="22"/>
        </w:rPr>
        <w:t>)</w:t>
      </w:r>
    </w:p>
    <w:p w14:paraId="44FDD11D" w14:textId="300A0110" w:rsidR="00C716B0" w:rsidRPr="001238D9" w:rsidRDefault="00C716B0" w:rsidP="002A397E">
      <w:pPr>
        <w:rPr>
          <w:rFonts w:ascii="Arial" w:hAnsi="Arial" w:cs="Arial"/>
          <w:sz w:val="22"/>
          <w:szCs w:val="22"/>
        </w:rPr>
      </w:pPr>
    </w:p>
    <w:p w14:paraId="5C0D5A2B" w14:textId="77777777" w:rsidR="002A397E" w:rsidRDefault="002A397E" w:rsidP="006E5D33">
      <w:pPr>
        <w:rPr>
          <w:rFonts w:ascii="Arial" w:hAnsi="Arial" w:cs="Arial"/>
          <w:sz w:val="22"/>
          <w:szCs w:val="22"/>
        </w:rPr>
      </w:pPr>
    </w:p>
    <w:p w14:paraId="31F36CAA" w14:textId="77777777" w:rsidR="00A74ED2" w:rsidRDefault="00A74ED2" w:rsidP="006E5D33">
      <w:pPr>
        <w:rPr>
          <w:rFonts w:ascii="Arial" w:hAnsi="Arial" w:cs="Arial"/>
          <w:sz w:val="22"/>
          <w:szCs w:val="22"/>
        </w:rPr>
      </w:pPr>
    </w:p>
    <w:sectPr w:rsidR="00A74ED2" w:rsidSect="00FF0338">
      <w:footerReference w:type="default" r:id="rId25"/>
      <w:footnotePr>
        <w:numStart w:val="7"/>
      </w:footnotePr>
      <w:endnotePr>
        <w:numFmt w:val="decimal"/>
        <w:numStart w:val="8"/>
      </w:endnotePr>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AAD35A" w14:textId="77777777" w:rsidR="004E4195" w:rsidRDefault="004E4195">
      <w:r>
        <w:separator/>
      </w:r>
    </w:p>
  </w:endnote>
  <w:endnote w:type="continuationSeparator" w:id="0">
    <w:p w14:paraId="762984C4" w14:textId="77777777" w:rsidR="004E4195" w:rsidRDefault="004E4195">
      <w:r>
        <w:continuationSeparator/>
      </w:r>
    </w:p>
  </w:endnote>
  <w:endnote w:id="1">
    <w:p w14:paraId="6B525376" w14:textId="1F2D8A80" w:rsidR="008B4D33" w:rsidRPr="003A6442" w:rsidRDefault="008B4D33" w:rsidP="00E14833">
      <w:pPr>
        <w:pStyle w:val="EndnoteText"/>
        <w:ind w:left="360" w:hanging="360"/>
        <w:rPr>
          <w:rFonts w:ascii="Arial" w:hAnsi="Arial" w:cs="Arial"/>
          <w:sz w:val="18"/>
          <w:szCs w:val="18"/>
        </w:rPr>
      </w:pPr>
      <w:r w:rsidRPr="003A6442">
        <w:rPr>
          <w:rStyle w:val="EndnoteReference"/>
          <w:rFonts w:ascii="Arial" w:hAnsi="Arial" w:cs="Arial"/>
          <w:sz w:val="18"/>
          <w:szCs w:val="18"/>
        </w:rPr>
        <w:endnoteRef/>
      </w:r>
      <w:r w:rsidRPr="003A6442">
        <w:rPr>
          <w:rFonts w:ascii="Arial" w:hAnsi="Arial" w:cs="Arial"/>
          <w:sz w:val="18"/>
          <w:szCs w:val="18"/>
        </w:rPr>
        <w:t xml:space="preserve"> Michigan Department of Environmental Quality.  R 323.1004.  Definitions; M to W.  Rule 44.</w:t>
      </w:r>
    </w:p>
  </w:endnote>
  <w:endnote w:id="2">
    <w:p w14:paraId="54FC5783" w14:textId="264600E2" w:rsidR="008B4D33" w:rsidRPr="003A6442" w:rsidRDefault="008B4D33" w:rsidP="00E14833">
      <w:pPr>
        <w:pStyle w:val="EndnoteText"/>
        <w:ind w:left="360" w:hanging="360"/>
        <w:rPr>
          <w:rFonts w:ascii="Arial" w:hAnsi="Arial" w:cs="Arial"/>
          <w:sz w:val="18"/>
          <w:szCs w:val="18"/>
        </w:rPr>
      </w:pPr>
      <w:r w:rsidRPr="003A6442">
        <w:rPr>
          <w:rStyle w:val="EndnoteReference"/>
          <w:rFonts w:ascii="Arial" w:hAnsi="Arial" w:cs="Arial"/>
          <w:sz w:val="18"/>
          <w:szCs w:val="18"/>
        </w:rPr>
        <w:endnoteRef/>
      </w:r>
      <w:r w:rsidRPr="003A6442">
        <w:rPr>
          <w:rFonts w:ascii="Arial" w:hAnsi="Arial" w:cs="Arial"/>
          <w:sz w:val="18"/>
          <w:szCs w:val="18"/>
        </w:rPr>
        <w:t xml:space="preserve"> EGLE, Part 91 Soil Erosion and Sedimentation Control Permitting Agencies </w:t>
      </w:r>
      <w:hyperlink r:id="rId1" w:history="1">
        <w:r w:rsidRPr="00E14833">
          <w:rPr>
            <w:rStyle w:val="Hyperlink"/>
            <w:rFonts w:ascii="Arial" w:hAnsi="Arial" w:cs="Arial"/>
            <w:sz w:val="18"/>
            <w:szCs w:val="18"/>
          </w:rPr>
          <w:t>https://www.michigan.gov/egle/about/organization/water-resources/soil-erosion/part-91-agencies</w:t>
        </w:r>
      </w:hyperlink>
      <w:r w:rsidRPr="003A6442">
        <w:rPr>
          <w:rFonts w:ascii="Arial" w:hAnsi="Arial" w:cs="Arial"/>
          <w:sz w:val="18"/>
          <w:szCs w:val="18"/>
        </w:rPr>
        <w:t>. Accessed April 2023.</w:t>
      </w:r>
    </w:p>
  </w:endnote>
  <w:endnote w:id="3">
    <w:p w14:paraId="320F2589" w14:textId="77777777" w:rsidR="008B4D33" w:rsidRPr="003A6442" w:rsidRDefault="008B4D33" w:rsidP="00E14833">
      <w:pPr>
        <w:pStyle w:val="EndnoteText"/>
        <w:ind w:left="360" w:hanging="360"/>
        <w:rPr>
          <w:rFonts w:ascii="Arial" w:hAnsi="Arial" w:cs="Arial"/>
          <w:sz w:val="18"/>
          <w:szCs w:val="18"/>
        </w:rPr>
      </w:pPr>
      <w:r w:rsidRPr="003A6442">
        <w:rPr>
          <w:rStyle w:val="EndnoteReference"/>
          <w:rFonts w:ascii="Arial" w:hAnsi="Arial" w:cs="Arial"/>
          <w:sz w:val="18"/>
          <w:szCs w:val="18"/>
        </w:rPr>
        <w:endnoteRef/>
      </w:r>
      <w:r w:rsidRPr="003A6442">
        <w:rPr>
          <w:rFonts w:ascii="Arial" w:hAnsi="Arial" w:cs="Arial"/>
          <w:sz w:val="18"/>
          <w:szCs w:val="18"/>
        </w:rPr>
        <w:t xml:space="preserve"> Southeast Michigan Council of Governments. </w:t>
      </w:r>
      <w:hyperlink r:id="rId2" w:history="1">
        <w:r w:rsidRPr="003A6442">
          <w:rPr>
            <w:rStyle w:val="Hyperlink"/>
            <w:rFonts w:ascii="Arial" w:hAnsi="Arial" w:cs="Arial"/>
            <w:sz w:val="18"/>
            <w:szCs w:val="18"/>
          </w:rPr>
          <w:t>https://semcog.org/custom-community-profiles</w:t>
        </w:r>
      </w:hyperlink>
      <w:r w:rsidRPr="003A6442">
        <w:rPr>
          <w:rFonts w:ascii="Arial" w:hAnsi="Arial" w:cs="Arial"/>
          <w:sz w:val="18"/>
          <w:szCs w:val="18"/>
        </w:rPr>
        <w:t>. Accessed 2021.</w:t>
      </w:r>
    </w:p>
  </w:endnote>
  <w:endnote w:id="4">
    <w:p w14:paraId="0A1FCB6B" w14:textId="77777777" w:rsidR="008B4D33" w:rsidRPr="003A6442" w:rsidRDefault="008B4D33" w:rsidP="00E14833">
      <w:pPr>
        <w:pStyle w:val="EndnoteText"/>
        <w:ind w:left="360" w:hanging="360"/>
        <w:rPr>
          <w:rFonts w:ascii="Arial" w:hAnsi="Arial" w:cs="Arial"/>
          <w:sz w:val="18"/>
          <w:szCs w:val="18"/>
        </w:rPr>
      </w:pPr>
      <w:r w:rsidRPr="003A6442">
        <w:rPr>
          <w:rStyle w:val="EndnoteReference"/>
          <w:rFonts w:ascii="Arial" w:hAnsi="Arial" w:cs="Arial"/>
          <w:sz w:val="18"/>
          <w:szCs w:val="18"/>
        </w:rPr>
        <w:endnoteRef/>
      </w:r>
      <w:r w:rsidRPr="003A6442">
        <w:rPr>
          <w:rFonts w:ascii="Arial" w:hAnsi="Arial" w:cs="Arial"/>
          <w:sz w:val="18"/>
          <w:szCs w:val="18"/>
        </w:rPr>
        <w:t xml:space="preserve">  Southeast Michigan Council of Governments.   </w:t>
      </w:r>
      <w:hyperlink r:id="rId3" w:history="1">
        <w:r w:rsidRPr="003A6442">
          <w:rPr>
            <w:rStyle w:val="Hyperlink"/>
            <w:rFonts w:ascii="Arial" w:hAnsi="Arial" w:cs="Arial"/>
            <w:sz w:val="18"/>
            <w:szCs w:val="18"/>
          </w:rPr>
          <w:t>https://www.semcog.org/population-estimates</w:t>
        </w:r>
      </w:hyperlink>
      <w:r w:rsidRPr="003A6442">
        <w:rPr>
          <w:rFonts w:ascii="Arial" w:hAnsi="Arial" w:cs="Arial"/>
          <w:sz w:val="18"/>
          <w:szCs w:val="18"/>
        </w:rPr>
        <w:t>. Accessed 2021.</w:t>
      </w:r>
    </w:p>
  </w:endnote>
  <w:endnote w:id="5">
    <w:p w14:paraId="00CB88C3" w14:textId="77777777" w:rsidR="008B4D33" w:rsidRPr="003A6442" w:rsidRDefault="008B4D33" w:rsidP="00E14833">
      <w:pPr>
        <w:pStyle w:val="EndnoteText"/>
        <w:ind w:left="360" w:hanging="360"/>
        <w:rPr>
          <w:rFonts w:ascii="Arial" w:hAnsi="Arial" w:cs="Arial"/>
          <w:sz w:val="18"/>
          <w:szCs w:val="18"/>
        </w:rPr>
      </w:pPr>
      <w:r w:rsidRPr="003A6442">
        <w:rPr>
          <w:rStyle w:val="EndnoteReference"/>
          <w:rFonts w:ascii="Arial" w:hAnsi="Arial" w:cs="Arial"/>
          <w:sz w:val="18"/>
          <w:szCs w:val="18"/>
        </w:rPr>
        <w:endnoteRef/>
      </w:r>
      <w:r w:rsidRPr="003A6442">
        <w:rPr>
          <w:rFonts w:ascii="Arial" w:hAnsi="Arial" w:cs="Arial"/>
          <w:sz w:val="18"/>
          <w:szCs w:val="18"/>
        </w:rPr>
        <w:t xml:space="preserve"> Southeast Michigan Council of Governments. </w:t>
      </w:r>
      <w:hyperlink r:id="rId4" w:history="1">
        <w:r w:rsidRPr="003A6442">
          <w:rPr>
            <w:rStyle w:val="Hyperlink"/>
            <w:rFonts w:ascii="Arial" w:hAnsi="Arial" w:cs="Arial"/>
            <w:sz w:val="18"/>
            <w:szCs w:val="18"/>
          </w:rPr>
          <w:t>https://semcog.org/custom-community-profiles</w:t>
        </w:r>
      </w:hyperlink>
      <w:r w:rsidRPr="003A6442">
        <w:rPr>
          <w:rFonts w:ascii="Arial" w:hAnsi="Arial" w:cs="Arial"/>
          <w:sz w:val="18"/>
          <w:szCs w:val="18"/>
        </w:rPr>
        <w:t>. Accessed 2021.</w:t>
      </w:r>
    </w:p>
  </w:endnote>
  <w:endnote w:id="6">
    <w:p w14:paraId="1B4A5FDB" w14:textId="77777777" w:rsidR="008B4D33" w:rsidRPr="003A6442" w:rsidRDefault="008B4D33" w:rsidP="00E14833">
      <w:pPr>
        <w:pStyle w:val="EndnoteText"/>
        <w:ind w:left="360" w:hanging="360"/>
        <w:rPr>
          <w:rFonts w:ascii="Arial" w:hAnsi="Arial" w:cs="Arial"/>
          <w:sz w:val="18"/>
          <w:szCs w:val="18"/>
        </w:rPr>
      </w:pPr>
      <w:r w:rsidRPr="003A6442">
        <w:rPr>
          <w:rStyle w:val="EndnoteReference"/>
          <w:rFonts w:ascii="Arial" w:hAnsi="Arial" w:cs="Arial"/>
          <w:sz w:val="18"/>
          <w:szCs w:val="18"/>
        </w:rPr>
        <w:endnoteRef/>
      </w:r>
      <w:r w:rsidRPr="003A6442">
        <w:rPr>
          <w:rFonts w:ascii="Arial" w:hAnsi="Arial" w:cs="Arial"/>
          <w:sz w:val="18"/>
          <w:szCs w:val="18"/>
        </w:rPr>
        <w:t xml:space="preserve"> Southeast Michigan Council of Governments.   </w:t>
      </w:r>
      <w:hyperlink r:id="rId5" w:history="1">
        <w:r w:rsidRPr="003A6442">
          <w:rPr>
            <w:rStyle w:val="Hyperlink"/>
            <w:rFonts w:ascii="Arial" w:hAnsi="Arial" w:cs="Arial"/>
            <w:sz w:val="18"/>
            <w:szCs w:val="18"/>
          </w:rPr>
          <w:t>https://www.semcog.org/population-estimates</w:t>
        </w:r>
      </w:hyperlink>
      <w:r w:rsidRPr="003A6442">
        <w:rPr>
          <w:rFonts w:ascii="Arial" w:hAnsi="Arial" w:cs="Arial"/>
          <w:sz w:val="18"/>
          <w:szCs w:val="18"/>
        </w:rPr>
        <w:t>. Accessed 2021.</w:t>
      </w:r>
    </w:p>
  </w:endnote>
  <w:endnote w:id="7">
    <w:p w14:paraId="0F4C2530" w14:textId="62030889" w:rsidR="008B4D33" w:rsidRPr="003A6442" w:rsidRDefault="008B4D33" w:rsidP="00E14833">
      <w:pPr>
        <w:pStyle w:val="EndnoteText"/>
        <w:ind w:left="360" w:hanging="360"/>
        <w:rPr>
          <w:rFonts w:ascii="Arial" w:hAnsi="Arial" w:cs="Arial"/>
          <w:sz w:val="18"/>
          <w:szCs w:val="18"/>
        </w:rPr>
      </w:pPr>
      <w:r w:rsidRPr="003A6442">
        <w:rPr>
          <w:rStyle w:val="EndnoteReference"/>
          <w:rFonts w:ascii="Arial" w:hAnsi="Arial" w:cs="Arial"/>
          <w:sz w:val="18"/>
          <w:szCs w:val="18"/>
        </w:rPr>
        <w:endnoteRef/>
      </w:r>
      <w:r w:rsidRPr="003A6442">
        <w:rPr>
          <w:rFonts w:ascii="Arial" w:hAnsi="Arial" w:cs="Arial"/>
          <w:sz w:val="18"/>
          <w:szCs w:val="18"/>
        </w:rPr>
        <w:t xml:space="preserve"> Southeast Michigan Council of Government. </w:t>
      </w:r>
      <w:hyperlink r:id="rId6" w:history="1">
        <w:r w:rsidRPr="003A6442">
          <w:rPr>
            <w:rStyle w:val="Hyperlink"/>
            <w:rFonts w:ascii="Arial" w:hAnsi="Arial" w:cs="Arial"/>
            <w:sz w:val="18"/>
            <w:szCs w:val="18"/>
          </w:rPr>
          <w:t>https://semcog.org/gis</w:t>
        </w:r>
      </w:hyperlink>
      <w:r w:rsidRPr="003A6442">
        <w:rPr>
          <w:rFonts w:ascii="Arial" w:hAnsi="Arial" w:cs="Arial"/>
          <w:sz w:val="18"/>
          <w:szCs w:val="18"/>
        </w:rPr>
        <w:t>. Accessed 2021</w:t>
      </w:r>
    </w:p>
  </w:endnote>
  <w:endnote w:id="8">
    <w:p w14:paraId="58670C2B" w14:textId="1D426979" w:rsidR="008B4D33" w:rsidRPr="003A6442" w:rsidRDefault="008B4D33" w:rsidP="00E14833">
      <w:pPr>
        <w:pStyle w:val="EndnoteText"/>
        <w:ind w:left="360" w:hanging="360"/>
        <w:rPr>
          <w:rFonts w:ascii="Arial" w:hAnsi="Arial" w:cs="Arial"/>
          <w:sz w:val="18"/>
          <w:szCs w:val="18"/>
        </w:rPr>
      </w:pPr>
      <w:r w:rsidRPr="003A6442">
        <w:rPr>
          <w:rStyle w:val="EndnoteReference"/>
          <w:rFonts w:ascii="Arial" w:hAnsi="Arial" w:cs="Arial"/>
          <w:sz w:val="18"/>
          <w:szCs w:val="18"/>
        </w:rPr>
        <w:endnoteRef/>
      </w:r>
      <w:r w:rsidRPr="003A6442">
        <w:rPr>
          <w:rFonts w:ascii="Arial" w:hAnsi="Arial" w:cs="Arial"/>
          <w:sz w:val="18"/>
          <w:szCs w:val="18"/>
        </w:rPr>
        <w:t xml:space="preserve"> Huron River Watershed Council, Huron Chain of Lake Watershed Management Plan. </w:t>
      </w:r>
      <w:hyperlink r:id="rId7" w:history="1">
        <w:r w:rsidRPr="003A6442">
          <w:rPr>
            <w:rStyle w:val="Hyperlink"/>
            <w:rFonts w:ascii="Arial" w:hAnsi="Arial" w:cs="Arial"/>
            <w:sz w:val="18"/>
            <w:szCs w:val="18"/>
          </w:rPr>
          <w:t>https://www.hrwc.org/wp-content/uploads/2013/08/HCOL_WMP.pdf</w:t>
        </w:r>
      </w:hyperlink>
      <w:r w:rsidRPr="003A6442">
        <w:rPr>
          <w:rFonts w:ascii="Arial" w:hAnsi="Arial" w:cs="Arial"/>
          <w:sz w:val="18"/>
          <w:szCs w:val="18"/>
        </w:rPr>
        <w:t>, Accessed 2022.</w:t>
      </w:r>
    </w:p>
  </w:endnote>
  <w:endnote w:id="9">
    <w:p w14:paraId="658D8E92" w14:textId="45451DE2" w:rsidR="008B4D33" w:rsidRPr="003A6442" w:rsidRDefault="008B4D33" w:rsidP="00E14833">
      <w:pPr>
        <w:pStyle w:val="EndnoteText"/>
        <w:ind w:left="360" w:hanging="360"/>
        <w:rPr>
          <w:rFonts w:ascii="Arial" w:hAnsi="Arial" w:cs="Arial"/>
          <w:sz w:val="18"/>
          <w:szCs w:val="18"/>
        </w:rPr>
      </w:pPr>
      <w:r w:rsidRPr="003A6442">
        <w:rPr>
          <w:rStyle w:val="EndnoteReference"/>
          <w:rFonts w:ascii="Arial" w:hAnsi="Arial" w:cs="Arial"/>
          <w:sz w:val="18"/>
          <w:szCs w:val="18"/>
        </w:rPr>
        <w:endnoteRef/>
      </w:r>
      <w:r w:rsidRPr="003A6442">
        <w:rPr>
          <w:rFonts w:ascii="Arial" w:hAnsi="Arial" w:cs="Arial"/>
          <w:sz w:val="18"/>
          <w:szCs w:val="18"/>
        </w:rPr>
        <w:t xml:space="preserve"> Michigan Department of Environment, Great Lakes, and Energy.  MiWaters Map, https://mienviro.michigan.gov/ncore/external/home. Accessed May 2023.</w:t>
      </w:r>
    </w:p>
  </w:endnote>
  <w:endnote w:id="10">
    <w:p w14:paraId="38E4A48F" w14:textId="77777777" w:rsidR="008B4D33" w:rsidRPr="003A6442" w:rsidRDefault="008B4D33" w:rsidP="00E14833">
      <w:pPr>
        <w:pStyle w:val="EndnoteText"/>
        <w:ind w:left="360" w:hanging="360"/>
        <w:rPr>
          <w:rFonts w:ascii="Arial" w:hAnsi="Arial" w:cs="Arial"/>
          <w:sz w:val="18"/>
          <w:szCs w:val="18"/>
        </w:rPr>
      </w:pPr>
      <w:r w:rsidRPr="003A6442">
        <w:rPr>
          <w:rStyle w:val="EndnoteReference"/>
          <w:rFonts w:ascii="Arial" w:hAnsi="Arial" w:cs="Arial"/>
          <w:sz w:val="18"/>
          <w:szCs w:val="18"/>
        </w:rPr>
        <w:endnoteRef/>
      </w:r>
      <w:r w:rsidRPr="003A6442">
        <w:rPr>
          <w:rFonts w:ascii="Arial" w:hAnsi="Arial" w:cs="Arial"/>
          <w:sz w:val="18"/>
          <w:szCs w:val="18"/>
        </w:rPr>
        <w:t xml:space="preserve"> Steen, P. 2014. Procedure for the Stream Habitat Assessment. Huron River Watershed Council, </w:t>
      </w:r>
      <w:hyperlink r:id="rId8" w:history="1">
        <w:r w:rsidRPr="003A6442">
          <w:rPr>
            <w:rStyle w:val="Hyperlink"/>
            <w:rFonts w:ascii="Arial" w:hAnsi="Arial" w:cs="Arial"/>
            <w:sz w:val="18"/>
            <w:szCs w:val="18"/>
          </w:rPr>
          <w:t>https://www.hrwc.org/wp-content/uploads/Measuring-Mapping-Procedure_2014.pdf</w:t>
        </w:r>
      </w:hyperlink>
      <w:r w:rsidRPr="003A6442">
        <w:rPr>
          <w:rFonts w:ascii="Arial" w:hAnsi="Arial" w:cs="Arial"/>
          <w:sz w:val="18"/>
          <w:szCs w:val="18"/>
        </w:rPr>
        <w:t>. Accessed May 2021.</w:t>
      </w:r>
    </w:p>
  </w:endnote>
  <w:endnote w:id="11">
    <w:p w14:paraId="3689C8E8" w14:textId="77777777" w:rsidR="008B4D33" w:rsidRPr="003A6442" w:rsidRDefault="008B4D33" w:rsidP="00E14833">
      <w:pPr>
        <w:pStyle w:val="EndnoteText"/>
        <w:ind w:left="360" w:hanging="360"/>
        <w:rPr>
          <w:rFonts w:ascii="Arial" w:hAnsi="Arial" w:cs="Arial"/>
          <w:sz w:val="18"/>
          <w:szCs w:val="18"/>
        </w:rPr>
      </w:pPr>
      <w:r w:rsidRPr="003A6442">
        <w:rPr>
          <w:rStyle w:val="EndnoteReference"/>
          <w:rFonts w:ascii="Arial" w:hAnsi="Arial" w:cs="Arial"/>
          <w:sz w:val="18"/>
          <w:szCs w:val="18"/>
        </w:rPr>
        <w:endnoteRef/>
      </w:r>
      <w:r w:rsidRPr="003A6442">
        <w:rPr>
          <w:rFonts w:ascii="Arial" w:hAnsi="Arial" w:cs="Arial"/>
          <w:sz w:val="18"/>
          <w:szCs w:val="18"/>
        </w:rPr>
        <w:t xml:space="preserve"> Michigan Department of Environment, Great Lakes, and Energy.2008. Qualitative Biological and Habitat Survey Protocols for Wadeable Streams and Rivers  </w:t>
      </w:r>
      <w:hyperlink r:id="rId9" w:history="1">
        <w:r w:rsidRPr="003A6442">
          <w:rPr>
            <w:rStyle w:val="Hyperlink"/>
            <w:rFonts w:ascii="Arial" w:hAnsi="Arial" w:cs="Arial"/>
            <w:sz w:val="18"/>
            <w:szCs w:val="18"/>
          </w:rPr>
          <w:t>https://www.michigan.gov/documents/deq/wb-swas-procedure51_280711_7.pdf</w:t>
        </w:r>
      </w:hyperlink>
      <w:r w:rsidRPr="003A6442">
        <w:rPr>
          <w:rFonts w:ascii="Arial" w:hAnsi="Arial" w:cs="Arial"/>
          <w:sz w:val="18"/>
          <w:szCs w:val="18"/>
        </w:rPr>
        <w:t>. Accessed May 2021.</w:t>
      </w:r>
    </w:p>
  </w:endnote>
  <w:endnote w:id="12">
    <w:p w14:paraId="5EED46A5" w14:textId="77777777" w:rsidR="008B4D33" w:rsidRPr="003A6442" w:rsidRDefault="008B4D33" w:rsidP="00E14833">
      <w:pPr>
        <w:pStyle w:val="EndnoteText"/>
        <w:ind w:left="360" w:hanging="360"/>
        <w:rPr>
          <w:rFonts w:ascii="Arial" w:hAnsi="Arial" w:cs="Arial"/>
          <w:sz w:val="18"/>
          <w:szCs w:val="18"/>
        </w:rPr>
      </w:pPr>
      <w:r w:rsidRPr="003A6442">
        <w:rPr>
          <w:rStyle w:val="EndnoteReference"/>
          <w:rFonts w:ascii="Arial" w:hAnsi="Arial" w:cs="Arial"/>
          <w:sz w:val="18"/>
          <w:szCs w:val="18"/>
        </w:rPr>
        <w:endnoteRef/>
      </w:r>
      <w:r w:rsidRPr="003A6442">
        <w:rPr>
          <w:rFonts w:ascii="Arial" w:hAnsi="Arial" w:cs="Arial"/>
          <w:sz w:val="18"/>
          <w:szCs w:val="18"/>
        </w:rPr>
        <w:t xml:space="preserve"> Livingston County Department of Public Health Environmental Health Division. 2002.  Environmental Awareness Handbook.  Livingston County, MI.</w:t>
      </w:r>
    </w:p>
  </w:endnote>
  <w:endnote w:id="13">
    <w:p w14:paraId="4FBC0407" w14:textId="3F9F4FE4" w:rsidR="008B4D33" w:rsidRPr="003A6442" w:rsidRDefault="008B4D33" w:rsidP="00E14833">
      <w:pPr>
        <w:ind w:left="360" w:hanging="360"/>
        <w:rPr>
          <w:rFonts w:ascii="Arial" w:hAnsi="Arial" w:cs="Arial"/>
          <w:sz w:val="18"/>
          <w:szCs w:val="18"/>
        </w:rPr>
      </w:pPr>
      <w:r w:rsidRPr="003A6442">
        <w:rPr>
          <w:rStyle w:val="EndnoteReference"/>
          <w:rFonts w:ascii="Arial" w:hAnsi="Arial" w:cs="Arial"/>
          <w:sz w:val="18"/>
          <w:szCs w:val="18"/>
        </w:rPr>
        <w:endnoteRef/>
      </w:r>
      <w:r w:rsidRPr="003A6442">
        <w:rPr>
          <w:rFonts w:ascii="Arial" w:hAnsi="Arial" w:cs="Arial"/>
          <w:sz w:val="18"/>
          <w:szCs w:val="18"/>
        </w:rPr>
        <w:t xml:space="preserve"> </w:t>
      </w:r>
      <w:r w:rsidRPr="003A6442">
        <w:rPr>
          <w:rFonts w:ascii="Arial" w:eastAsia="Arial" w:hAnsi="Arial" w:cs="Arial"/>
          <w:sz w:val="18"/>
          <w:szCs w:val="18"/>
        </w:rPr>
        <w:t>Aichele, Steven S. 2005.  Effects of Urban Land-Use Change on Streamflow and Water Quality in Oakland County, Michigan, 1970-2003, as Inferred from Urban Gradient and Temporal Analysis.  U.S. Geological Survey Scientific Investigations Report 2005-5016.</w:t>
      </w:r>
    </w:p>
  </w:endnote>
  <w:endnote w:id="14">
    <w:p w14:paraId="7AF36372" w14:textId="77777777" w:rsidR="008B4D33" w:rsidRPr="003A6442" w:rsidRDefault="008B4D33" w:rsidP="00E14833">
      <w:pPr>
        <w:pStyle w:val="EndnoteText"/>
        <w:ind w:left="360" w:hanging="360"/>
        <w:rPr>
          <w:rFonts w:ascii="Arial" w:hAnsi="Arial" w:cs="Arial"/>
          <w:sz w:val="18"/>
          <w:szCs w:val="18"/>
        </w:rPr>
      </w:pPr>
      <w:r w:rsidRPr="003A6442">
        <w:rPr>
          <w:rStyle w:val="EndnoteReference"/>
          <w:rFonts w:ascii="Arial" w:hAnsi="Arial" w:cs="Arial"/>
          <w:sz w:val="18"/>
          <w:szCs w:val="18"/>
        </w:rPr>
        <w:endnoteRef/>
      </w:r>
      <w:r w:rsidRPr="003A6442">
        <w:rPr>
          <w:rFonts w:ascii="Arial" w:hAnsi="Arial" w:cs="Arial"/>
          <w:sz w:val="18"/>
          <w:szCs w:val="18"/>
        </w:rPr>
        <w:t xml:space="preserve"> Dakin, T. and Martin, J.  2003a.  Monitoring Gazette, Winter-Spring 2003. Ann Arbor, MI: Huron River Watershed Council.</w:t>
      </w:r>
    </w:p>
  </w:endnote>
  <w:endnote w:id="15">
    <w:p w14:paraId="663B039F" w14:textId="77777777" w:rsidR="008B4D33" w:rsidRPr="003A6442" w:rsidRDefault="008B4D33" w:rsidP="00E14833">
      <w:pPr>
        <w:pStyle w:val="EndnoteText"/>
        <w:ind w:left="360" w:hanging="360"/>
        <w:rPr>
          <w:rFonts w:ascii="Arial" w:hAnsi="Arial" w:cs="Arial"/>
          <w:sz w:val="18"/>
          <w:szCs w:val="18"/>
        </w:rPr>
      </w:pPr>
      <w:r w:rsidRPr="003A6442">
        <w:rPr>
          <w:rStyle w:val="EndnoteReference"/>
          <w:rFonts w:ascii="Arial" w:hAnsi="Arial" w:cs="Arial"/>
          <w:sz w:val="18"/>
          <w:szCs w:val="18"/>
        </w:rPr>
        <w:endnoteRef/>
      </w:r>
      <w:r w:rsidRPr="003A6442">
        <w:rPr>
          <w:rFonts w:ascii="Arial" w:hAnsi="Arial" w:cs="Arial"/>
          <w:sz w:val="18"/>
          <w:szCs w:val="18"/>
        </w:rPr>
        <w:t xml:space="preserve"> Mahler et al. 2012. Coal-Tar-Based Pavement Sealcoat and PAHs: Implications for the Environment, Human Health, and Stormwater Management. Environmental Science and Technology </w:t>
      </w:r>
      <w:r w:rsidRPr="003A6442">
        <w:rPr>
          <w:rFonts w:ascii="Arial" w:hAnsi="Arial" w:cs="Arial"/>
          <w:b/>
          <w:sz w:val="18"/>
          <w:szCs w:val="18"/>
        </w:rPr>
        <w:t>46</w:t>
      </w:r>
      <w:r w:rsidRPr="003A6442">
        <w:rPr>
          <w:rFonts w:ascii="Arial" w:hAnsi="Arial" w:cs="Arial"/>
          <w:sz w:val="18"/>
          <w:szCs w:val="18"/>
        </w:rPr>
        <w:t>, 3039-3045.</w:t>
      </w:r>
    </w:p>
  </w:endnote>
  <w:endnote w:id="16">
    <w:p w14:paraId="0106EAAB" w14:textId="77777777" w:rsidR="008B4D33" w:rsidRPr="003A6442" w:rsidRDefault="008B4D33" w:rsidP="00E14833">
      <w:pPr>
        <w:pStyle w:val="EndnoteText"/>
        <w:ind w:left="360" w:hanging="360"/>
        <w:rPr>
          <w:rFonts w:ascii="Arial" w:hAnsi="Arial" w:cs="Arial"/>
          <w:sz w:val="18"/>
          <w:szCs w:val="18"/>
        </w:rPr>
      </w:pPr>
      <w:r w:rsidRPr="003A6442">
        <w:rPr>
          <w:rStyle w:val="EndnoteReference"/>
          <w:rFonts w:ascii="Arial" w:hAnsi="Arial" w:cs="Arial"/>
          <w:sz w:val="18"/>
          <w:szCs w:val="18"/>
        </w:rPr>
        <w:endnoteRef/>
      </w:r>
      <w:r w:rsidRPr="003A6442">
        <w:rPr>
          <w:rFonts w:ascii="Arial" w:hAnsi="Arial" w:cs="Arial"/>
          <w:sz w:val="18"/>
          <w:szCs w:val="18"/>
        </w:rPr>
        <w:t xml:space="preserve"> Lawson et al. 2020. The Middle Huron Watershed Management Plan, Section 2. </w:t>
      </w:r>
      <w:hyperlink r:id="rId10" w:history="1">
        <w:r w:rsidRPr="003A6442">
          <w:rPr>
            <w:rStyle w:val="Hyperlink"/>
            <w:rFonts w:ascii="Arial" w:hAnsi="Arial" w:cs="Arial"/>
            <w:sz w:val="18"/>
            <w:szCs w:val="18"/>
          </w:rPr>
          <w:t>https://www.hrwc.org/what-we- do/programs/watershed-management-planning/middle-huron-WMP-section-2/</w:t>
        </w:r>
      </w:hyperlink>
      <w:r w:rsidRPr="003A6442">
        <w:rPr>
          <w:rFonts w:ascii="Arial" w:hAnsi="Arial" w:cs="Arial"/>
          <w:sz w:val="18"/>
          <w:szCs w:val="18"/>
        </w:rPr>
        <w:t>. Accessed May 2021.</w:t>
      </w:r>
    </w:p>
  </w:endnote>
  <w:endnote w:id="17">
    <w:p w14:paraId="016557EC" w14:textId="77777777" w:rsidR="008B4D33" w:rsidRPr="003A6442" w:rsidRDefault="008B4D33" w:rsidP="00E14833">
      <w:pPr>
        <w:pStyle w:val="EndnoteText"/>
        <w:ind w:left="360" w:hanging="360"/>
        <w:rPr>
          <w:rFonts w:ascii="Arial" w:hAnsi="Arial" w:cs="Arial"/>
          <w:sz w:val="18"/>
          <w:szCs w:val="18"/>
        </w:rPr>
      </w:pPr>
      <w:r w:rsidRPr="003A6442">
        <w:rPr>
          <w:rStyle w:val="EndnoteReference"/>
          <w:rFonts w:ascii="Arial" w:hAnsi="Arial" w:cs="Arial"/>
          <w:sz w:val="18"/>
          <w:szCs w:val="18"/>
        </w:rPr>
        <w:endnoteRef/>
      </w:r>
      <w:r w:rsidRPr="003A6442">
        <w:rPr>
          <w:rFonts w:ascii="Arial" w:hAnsi="Arial" w:cs="Arial"/>
          <w:sz w:val="18"/>
          <w:szCs w:val="18"/>
        </w:rPr>
        <w:t xml:space="preserve"> Mahler et al. 2014. Concentrations of polycyclic aromatic hydrocarbons (PAHs) and azaarenes in runoff from coal-tar- and asphalt-sealcoated pavement. Environmental Pollution 188</w:t>
      </w:r>
      <w:r w:rsidRPr="003A6442">
        <w:rPr>
          <w:rFonts w:ascii="Arial" w:hAnsi="Arial" w:cs="Arial"/>
          <w:b/>
          <w:sz w:val="18"/>
          <w:szCs w:val="18"/>
        </w:rPr>
        <w:t xml:space="preserve">: </w:t>
      </w:r>
      <w:r w:rsidRPr="003A6442">
        <w:rPr>
          <w:rFonts w:ascii="Arial" w:hAnsi="Arial" w:cs="Arial"/>
          <w:sz w:val="18"/>
          <w:szCs w:val="18"/>
        </w:rPr>
        <w:t>81-87.</w:t>
      </w:r>
    </w:p>
  </w:endnote>
  <w:endnote w:id="18">
    <w:p w14:paraId="27EABC3F" w14:textId="31C538EB" w:rsidR="008B4D33" w:rsidRPr="003A6442" w:rsidRDefault="008B4D33" w:rsidP="00E14833">
      <w:pPr>
        <w:pStyle w:val="EndnoteText"/>
        <w:ind w:left="360" w:hanging="360"/>
        <w:rPr>
          <w:rFonts w:ascii="Arial" w:hAnsi="Arial" w:cs="Arial"/>
          <w:sz w:val="18"/>
          <w:szCs w:val="18"/>
        </w:rPr>
      </w:pPr>
      <w:r w:rsidRPr="003A6442">
        <w:rPr>
          <w:rStyle w:val="EndnoteReference"/>
          <w:rFonts w:ascii="Arial" w:hAnsi="Arial" w:cs="Arial"/>
          <w:sz w:val="18"/>
          <w:szCs w:val="18"/>
        </w:rPr>
        <w:endnoteRef/>
      </w:r>
      <w:r w:rsidRPr="003A6442">
        <w:rPr>
          <w:rFonts w:ascii="Arial" w:hAnsi="Arial" w:cs="Arial"/>
          <w:sz w:val="18"/>
          <w:szCs w:val="18"/>
        </w:rPr>
        <w:t xml:space="preserve"> EGLE, 202</w:t>
      </w:r>
      <w:r w:rsidR="002F6373">
        <w:rPr>
          <w:rFonts w:ascii="Arial" w:hAnsi="Arial" w:cs="Arial"/>
          <w:sz w:val="18"/>
          <w:szCs w:val="18"/>
        </w:rPr>
        <w:t>3</w:t>
      </w:r>
      <w:r w:rsidRPr="003A6442">
        <w:rPr>
          <w:rFonts w:ascii="Arial" w:hAnsi="Arial" w:cs="Arial"/>
          <w:sz w:val="18"/>
          <w:szCs w:val="18"/>
        </w:rPr>
        <w:t xml:space="preserve">. </w:t>
      </w:r>
      <w:r w:rsidRPr="003A6442">
        <w:rPr>
          <w:rFonts w:ascii="Arial" w:hAnsi="Arial" w:cs="Arial"/>
          <w:color w:val="333333"/>
          <w:sz w:val="18"/>
          <w:szCs w:val="18"/>
        </w:rPr>
        <w:t xml:space="preserve">Water Quality and Pollution Control in Michigan Sections 303(d), 305(b), and 314 Integrated Report. </w:t>
      </w:r>
      <w:hyperlink r:id="rId11" w:history="1">
        <w:r w:rsidRPr="003A6442">
          <w:rPr>
            <w:rStyle w:val="Hyperlink"/>
            <w:rFonts w:ascii="Arial" w:hAnsi="Arial" w:cs="Arial"/>
            <w:sz w:val="18"/>
            <w:szCs w:val="18"/>
          </w:rPr>
          <w:t>https://www.michigan.gov/egle/-/media/Project/Websites/egle/Documents/Programs/WRD/SWAS/2022-Integrated-Report.pdf?rev=0a6b006c0cc44bcd936c75d5608659ed&amp;hash=03A5B2B0F3379B07D369F289BA32C483</w:t>
        </w:r>
      </w:hyperlink>
      <w:r w:rsidRPr="003A6442">
        <w:rPr>
          <w:rFonts w:ascii="Arial" w:hAnsi="Arial" w:cs="Arial"/>
          <w:color w:val="333333"/>
          <w:sz w:val="18"/>
          <w:szCs w:val="18"/>
        </w:rPr>
        <w:t>. Accessed July 202</w:t>
      </w:r>
      <w:r w:rsidR="002F6373">
        <w:rPr>
          <w:rFonts w:ascii="Arial" w:hAnsi="Arial" w:cs="Arial"/>
          <w:color w:val="333333"/>
          <w:sz w:val="18"/>
          <w:szCs w:val="18"/>
        </w:rPr>
        <w:t>3</w:t>
      </w:r>
      <w:r w:rsidRPr="003A6442">
        <w:rPr>
          <w:rFonts w:ascii="Arial" w:hAnsi="Arial" w:cs="Arial"/>
          <w:color w:val="333333"/>
          <w:sz w:val="18"/>
          <w:szCs w:val="18"/>
        </w:rPr>
        <w:t>.</w:t>
      </w:r>
    </w:p>
  </w:endnote>
  <w:endnote w:id="19">
    <w:p w14:paraId="7344951C" w14:textId="77777777" w:rsidR="008B4D33" w:rsidRPr="003A6442" w:rsidRDefault="008B4D33" w:rsidP="00E14833">
      <w:pPr>
        <w:pStyle w:val="EndnoteText"/>
        <w:ind w:left="360" w:hanging="360"/>
        <w:rPr>
          <w:rFonts w:ascii="Arial" w:hAnsi="Arial" w:cs="Arial"/>
          <w:sz w:val="18"/>
          <w:szCs w:val="18"/>
        </w:rPr>
      </w:pPr>
      <w:r w:rsidRPr="003A6442">
        <w:rPr>
          <w:rStyle w:val="EndnoteReference"/>
          <w:rFonts w:ascii="Arial" w:hAnsi="Arial" w:cs="Arial"/>
          <w:sz w:val="18"/>
          <w:szCs w:val="18"/>
        </w:rPr>
        <w:endnoteRef/>
      </w:r>
      <w:r w:rsidRPr="003A6442">
        <w:rPr>
          <w:rFonts w:ascii="Arial" w:hAnsi="Arial" w:cs="Arial"/>
          <w:sz w:val="18"/>
          <w:szCs w:val="18"/>
        </w:rPr>
        <w:t xml:space="preserve"> </w:t>
      </w:r>
      <w:r w:rsidRPr="003A6442">
        <w:rPr>
          <w:rFonts w:ascii="Arial" w:hAnsi="Arial" w:cs="Arial"/>
          <w:color w:val="000000"/>
          <w:sz w:val="18"/>
          <w:szCs w:val="18"/>
          <w:shd w:val="clear" w:color="auto" w:fill="FFFFFF"/>
        </w:rPr>
        <w:t>Phillips, P.J., Smith, S.G., Kolpin, D.W., Zaugg, S.D., Buxton, H.T., Furlong, E.T., Esposito, Kathleen, and Stinson, Beverley, 2010, </w:t>
      </w:r>
      <w:r w:rsidRPr="003A6442">
        <w:rPr>
          <w:rFonts w:ascii="Arial" w:hAnsi="Arial" w:cs="Arial"/>
          <w:sz w:val="18"/>
          <w:szCs w:val="18"/>
          <w:shd w:val="clear" w:color="auto" w:fill="FFFFFF"/>
        </w:rPr>
        <w:t>Pharmaceutical formulation facilities as sources of opioids and other pharmaceuticals to wastewater treatment plant effluents</w:t>
      </w:r>
      <w:r w:rsidRPr="003A6442">
        <w:rPr>
          <w:rFonts w:ascii="Arial" w:hAnsi="Arial" w:cs="Arial"/>
          <w:color w:val="000000"/>
          <w:sz w:val="18"/>
          <w:szCs w:val="18"/>
          <w:shd w:val="clear" w:color="auto" w:fill="FFFFFF"/>
        </w:rPr>
        <w:t>: Environmental Science and Technology 210: 4910-4916.</w:t>
      </w:r>
    </w:p>
  </w:endnote>
  <w:endnote w:id="20">
    <w:p w14:paraId="29194B05" w14:textId="77777777" w:rsidR="008B4D33" w:rsidRPr="003A6442" w:rsidRDefault="008B4D33" w:rsidP="00E14833">
      <w:pPr>
        <w:pStyle w:val="EndnoteText"/>
        <w:ind w:left="360" w:hanging="360"/>
        <w:rPr>
          <w:rFonts w:ascii="Arial" w:hAnsi="Arial" w:cs="Arial"/>
          <w:sz w:val="18"/>
          <w:szCs w:val="18"/>
        </w:rPr>
      </w:pPr>
      <w:r w:rsidRPr="003A6442">
        <w:rPr>
          <w:rStyle w:val="EndnoteReference"/>
          <w:rFonts w:ascii="Arial" w:hAnsi="Arial" w:cs="Arial"/>
          <w:sz w:val="18"/>
          <w:szCs w:val="18"/>
        </w:rPr>
        <w:endnoteRef/>
      </w:r>
      <w:r w:rsidRPr="003A6442">
        <w:rPr>
          <w:rFonts w:ascii="Arial" w:hAnsi="Arial" w:cs="Arial"/>
          <w:sz w:val="18"/>
          <w:szCs w:val="18"/>
        </w:rPr>
        <w:t xml:space="preserve"> Skadsen, Janice M.,B.L Rice, D. J. Meyering, 2004. “The Occurrence and Fate of Pharmaceuticals, Personal Care Products and Endocrine Disrupting Compounds in a Municipal Water Use Cycle:  A Case Study in the City of Ann Arbor.”  City of Ann Arbor, Water Utilities. &lt; </w:t>
      </w:r>
      <w:hyperlink r:id="rId12" w:history="1">
        <w:r w:rsidRPr="003A6442">
          <w:rPr>
            <w:rStyle w:val="Hyperlink"/>
            <w:rFonts w:ascii="Arial" w:hAnsi="Arial" w:cs="Arial"/>
            <w:sz w:val="18"/>
            <w:szCs w:val="18"/>
          </w:rPr>
          <w:t>http://www.ci.ann-arbor.mi.us/PublicServices/Water/WTP/EndocrineDisruptors.pdf</w:t>
        </w:r>
      </w:hyperlink>
      <w:r w:rsidRPr="003A6442">
        <w:rPr>
          <w:rFonts w:ascii="Arial" w:hAnsi="Arial" w:cs="Arial"/>
          <w:sz w:val="18"/>
          <w:szCs w:val="18"/>
        </w:rPr>
        <w:t>&gt;</w:t>
      </w:r>
    </w:p>
  </w:endnote>
  <w:endnote w:id="21">
    <w:p w14:paraId="4A5FDA01" w14:textId="77777777" w:rsidR="008B4D33" w:rsidRPr="003A6442" w:rsidRDefault="008B4D33" w:rsidP="00E14833">
      <w:pPr>
        <w:pStyle w:val="EndnoteText"/>
        <w:ind w:left="360" w:hanging="360"/>
        <w:rPr>
          <w:rFonts w:ascii="Arial" w:hAnsi="Arial" w:cs="Arial"/>
          <w:sz w:val="18"/>
          <w:szCs w:val="18"/>
        </w:rPr>
      </w:pPr>
      <w:r w:rsidRPr="003A6442">
        <w:rPr>
          <w:rStyle w:val="EndnoteReference"/>
          <w:rFonts w:ascii="Arial" w:hAnsi="Arial" w:cs="Arial"/>
          <w:sz w:val="18"/>
          <w:szCs w:val="18"/>
        </w:rPr>
        <w:endnoteRef/>
      </w:r>
      <w:r w:rsidRPr="003A6442">
        <w:rPr>
          <w:rFonts w:ascii="Arial" w:hAnsi="Arial" w:cs="Arial"/>
          <w:sz w:val="18"/>
          <w:szCs w:val="18"/>
        </w:rPr>
        <w:t xml:space="preserve"> Michigan State Legislature. Part 4. Water Quality Standards. Promulgated pursuant to Part 31 of the Natural Resources and Environmental Protection Act, 1994 PA 451, as amended.</w:t>
      </w:r>
    </w:p>
  </w:endnote>
  <w:endnote w:id="22">
    <w:p w14:paraId="5A3B3460" w14:textId="77777777" w:rsidR="008B4D33" w:rsidRPr="003A6442" w:rsidRDefault="008B4D33" w:rsidP="00E14833">
      <w:pPr>
        <w:ind w:left="360" w:hanging="360"/>
        <w:rPr>
          <w:rFonts w:ascii="Arial" w:hAnsi="Arial" w:cs="Arial"/>
          <w:sz w:val="18"/>
          <w:szCs w:val="18"/>
        </w:rPr>
      </w:pPr>
      <w:r w:rsidRPr="003A6442">
        <w:rPr>
          <w:rStyle w:val="EndnoteReference"/>
          <w:rFonts w:ascii="Arial" w:hAnsi="Arial" w:cs="Arial"/>
          <w:sz w:val="18"/>
          <w:szCs w:val="18"/>
        </w:rPr>
        <w:endnoteRef/>
      </w:r>
      <w:r w:rsidRPr="003A6442">
        <w:rPr>
          <w:rFonts w:ascii="Arial" w:hAnsi="Arial" w:cs="Arial"/>
          <w:sz w:val="18"/>
          <w:szCs w:val="18"/>
        </w:rPr>
        <w:t xml:space="preserve"> Bednarz, R, H. Wandell, P. Steen, P. W. Dimond, J. Latimore, and M. Wilmes. 2015, revised 2019. Cooperative Lakes Monitoring Program Manual. Michigan Department of Environment, Great Lakes, and Energy Report Number MI/DEQ/WRD</w:t>
      </w:r>
      <w:r w:rsidRPr="003A6442">
        <w:rPr>
          <w:rFonts w:ascii="Cambria Math" w:hAnsi="Cambria Math" w:cs="Cambria Math"/>
          <w:sz w:val="18"/>
          <w:szCs w:val="18"/>
        </w:rPr>
        <w:t>‐</w:t>
      </w:r>
      <w:r w:rsidRPr="003A6442">
        <w:rPr>
          <w:rFonts w:ascii="Arial" w:hAnsi="Arial" w:cs="Arial"/>
          <w:sz w:val="18"/>
          <w:szCs w:val="18"/>
        </w:rPr>
        <w:t xml:space="preserve">15/004.   </w:t>
      </w:r>
    </w:p>
  </w:endnote>
  <w:endnote w:id="23">
    <w:p w14:paraId="2C5522D0" w14:textId="77777777" w:rsidR="008B4D33" w:rsidRPr="003A6442" w:rsidRDefault="008B4D33" w:rsidP="00E14833">
      <w:pPr>
        <w:pStyle w:val="EndnoteText"/>
        <w:ind w:left="360" w:hanging="360"/>
        <w:rPr>
          <w:rFonts w:ascii="Arial" w:hAnsi="Arial" w:cs="Arial"/>
          <w:sz w:val="18"/>
          <w:szCs w:val="18"/>
        </w:rPr>
      </w:pPr>
      <w:r w:rsidRPr="003A6442">
        <w:rPr>
          <w:rStyle w:val="EndnoteReference"/>
          <w:rFonts w:ascii="Arial" w:hAnsi="Arial" w:cs="Arial"/>
          <w:sz w:val="18"/>
          <w:szCs w:val="18"/>
        </w:rPr>
        <w:endnoteRef/>
      </w:r>
      <w:r w:rsidRPr="003A6442">
        <w:rPr>
          <w:rFonts w:ascii="Arial" w:hAnsi="Arial" w:cs="Arial"/>
          <w:sz w:val="18"/>
          <w:szCs w:val="18"/>
        </w:rPr>
        <w:t xml:space="preserve"> Dakin and Martin.  2003a. </w:t>
      </w:r>
    </w:p>
  </w:endnote>
  <w:endnote w:id="24">
    <w:p w14:paraId="59255A88" w14:textId="77777777" w:rsidR="008B4D33" w:rsidRPr="003A6442" w:rsidRDefault="008B4D33" w:rsidP="00E14833">
      <w:pPr>
        <w:pStyle w:val="EndnoteText"/>
        <w:ind w:left="360" w:hanging="360"/>
        <w:rPr>
          <w:rFonts w:ascii="Arial" w:hAnsi="Arial" w:cs="Arial"/>
          <w:sz w:val="18"/>
          <w:szCs w:val="18"/>
        </w:rPr>
      </w:pPr>
      <w:r w:rsidRPr="003A6442">
        <w:rPr>
          <w:rStyle w:val="EndnoteReference"/>
          <w:rFonts w:ascii="Arial" w:hAnsi="Arial" w:cs="Arial"/>
          <w:sz w:val="18"/>
          <w:szCs w:val="18"/>
        </w:rPr>
        <w:endnoteRef/>
      </w:r>
      <w:r w:rsidRPr="003A6442">
        <w:rPr>
          <w:rFonts w:ascii="Arial" w:hAnsi="Arial" w:cs="Arial"/>
          <w:sz w:val="18"/>
          <w:szCs w:val="18"/>
        </w:rPr>
        <w:t xml:space="preserve"> Wehrly, et. al. 2003. in Huron River Watershed Council, Winter-Spring Monitoring Gazette, 2003.</w:t>
      </w:r>
    </w:p>
  </w:endnote>
  <w:endnote w:id="25">
    <w:p w14:paraId="090EEC80" w14:textId="77777777" w:rsidR="008B4D33" w:rsidRPr="003A6442" w:rsidRDefault="008B4D33" w:rsidP="00E14833">
      <w:pPr>
        <w:pStyle w:val="EndnoteText"/>
        <w:ind w:left="360" w:hanging="360"/>
        <w:rPr>
          <w:rFonts w:ascii="Arial" w:hAnsi="Arial" w:cs="Arial"/>
          <w:sz w:val="18"/>
          <w:szCs w:val="18"/>
        </w:rPr>
      </w:pPr>
      <w:r w:rsidRPr="003A6442">
        <w:rPr>
          <w:rStyle w:val="EndnoteReference"/>
          <w:rFonts w:ascii="Arial" w:hAnsi="Arial" w:cs="Arial"/>
          <w:sz w:val="18"/>
          <w:szCs w:val="18"/>
        </w:rPr>
        <w:endnoteRef/>
      </w:r>
      <w:r w:rsidRPr="003A6442">
        <w:rPr>
          <w:rFonts w:ascii="Arial" w:hAnsi="Arial" w:cs="Arial"/>
          <w:sz w:val="18"/>
          <w:szCs w:val="18"/>
        </w:rPr>
        <w:t xml:space="preserve"> Michigan State Legislature. </w:t>
      </w:r>
      <w:r w:rsidRPr="003A6442">
        <w:rPr>
          <w:rFonts w:ascii="Arial" w:hAnsi="Arial" w:cs="Arial"/>
          <w:sz w:val="18"/>
          <w:szCs w:val="18"/>
          <w:shd w:val="clear" w:color="auto" w:fill="FFFFFF"/>
        </w:rPr>
        <w:t>The State of Michigan's Part 4 Rules, Water Quality Standards (of Part 31, Water Resources Protection, of Act 451 of 1994).</w:t>
      </w:r>
    </w:p>
  </w:endnote>
  <w:endnote w:id="26">
    <w:p w14:paraId="1C939CDB" w14:textId="77777777" w:rsidR="008B4D33" w:rsidRPr="003A6442" w:rsidRDefault="008B4D33" w:rsidP="00E14833">
      <w:pPr>
        <w:pStyle w:val="EndnoteText"/>
        <w:ind w:left="360" w:hanging="360"/>
        <w:rPr>
          <w:rFonts w:ascii="Arial" w:hAnsi="Arial" w:cs="Arial"/>
          <w:sz w:val="18"/>
          <w:szCs w:val="18"/>
        </w:rPr>
      </w:pPr>
      <w:r w:rsidRPr="003A6442">
        <w:rPr>
          <w:rStyle w:val="EndnoteReference"/>
          <w:rFonts w:ascii="Arial" w:hAnsi="Arial" w:cs="Arial"/>
          <w:sz w:val="18"/>
          <w:szCs w:val="18"/>
        </w:rPr>
        <w:endnoteRef/>
      </w:r>
      <w:r w:rsidRPr="003A6442">
        <w:rPr>
          <w:rFonts w:ascii="Arial" w:hAnsi="Arial" w:cs="Arial"/>
          <w:sz w:val="18"/>
          <w:szCs w:val="18"/>
        </w:rPr>
        <w:t xml:space="preserve"> Michigan State Legislature. Michigan State Legislature. </w:t>
      </w:r>
      <w:r w:rsidRPr="003A6442">
        <w:rPr>
          <w:rFonts w:ascii="Arial" w:hAnsi="Arial" w:cs="Arial"/>
          <w:sz w:val="18"/>
          <w:szCs w:val="18"/>
          <w:shd w:val="clear" w:color="auto" w:fill="FFFFFF"/>
        </w:rPr>
        <w:t>The State of Michigan's Part 4 Rules, Water Quality Standards (of Part 31, Water Resources Protection, of Act 451 of 1994).</w:t>
      </w:r>
    </w:p>
  </w:endnote>
  <w:endnote w:id="27">
    <w:p w14:paraId="65F5336E" w14:textId="77777777" w:rsidR="008B4D33" w:rsidRPr="003A6442" w:rsidRDefault="008B4D33" w:rsidP="00E14833">
      <w:pPr>
        <w:pStyle w:val="EndnoteText"/>
        <w:ind w:left="360" w:hanging="360"/>
        <w:rPr>
          <w:rFonts w:ascii="Arial" w:hAnsi="Arial" w:cs="Arial"/>
          <w:sz w:val="18"/>
          <w:szCs w:val="18"/>
        </w:rPr>
      </w:pPr>
      <w:r w:rsidRPr="003A6442">
        <w:rPr>
          <w:rStyle w:val="EndnoteReference"/>
          <w:rFonts w:ascii="Arial" w:hAnsi="Arial" w:cs="Arial"/>
          <w:sz w:val="18"/>
          <w:szCs w:val="18"/>
        </w:rPr>
        <w:endnoteRef/>
      </w:r>
      <w:r w:rsidRPr="003A6442">
        <w:rPr>
          <w:rFonts w:ascii="Arial" w:hAnsi="Arial" w:cs="Arial"/>
          <w:sz w:val="18"/>
          <w:szCs w:val="18"/>
        </w:rPr>
        <w:t xml:space="preserve"> Michigan Department of Environment, Great Lakes, and Energy. Online: </w:t>
      </w:r>
      <w:hyperlink r:id="rId13" w:history="1">
        <w:r w:rsidRPr="003A6442">
          <w:rPr>
            <w:rStyle w:val="Hyperlink"/>
            <w:rFonts w:ascii="Arial" w:hAnsi="Arial" w:cs="Arial"/>
            <w:sz w:val="18"/>
            <w:szCs w:val="18"/>
          </w:rPr>
          <w:t>https://www.michigan.gov/egle/0,9429,7-135-3313_3681_3686_3728-383659--,00.html</w:t>
        </w:r>
      </w:hyperlink>
      <w:r w:rsidRPr="003A6442">
        <w:rPr>
          <w:rFonts w:ascii="Arial" w:hAnsi="Arial" w:cs="Arial"/>
          <w:sz w:val="18"/>
          <w:szCs w:val="18"/>
        </w:rPr>
        <w:t>. Accessed 2019</w:t>
      </w:r>
    </w:p>
  </w:endnote>
  <w:endnote w:id="28">
    <w:p w14:paraId="0AC2F3CE" w14:textId="77777777" w:rsidR="008B4D33" w:rsidRPr="003A6442" w:rsidRDefault="008B4D33" w:rsidP="00E14833">
      <w:pPr>
        <w:pStyle w:val="EndnoteText"/>
        <w:ind w:left="360" w:hanging="360"/>
        <w:rPr>
          <w:rFonts w:ascii="Arial" w:hAnsi="Arial" w:cs="Arial"/>
          <w:sz w:val="18"/>
          <w:szCs w:val="18"/>
        </w:rPr>
      </w:pPr>
      <w:r w:rsidRPr="003A6442">
        <w:rPr>
          <w:rStyle w:val="EndnoteReference"/>
          <w:rFonts w:ascii="Arial" w:hAnsi="Arial" w:cs="Arial"/>
          <w:sz w:val="18"/>
          <w:szCs w:val="18"/>
        </w:rPr>
        <w:endnoteRef/>
      </w:r>
      <w:r w:rsidRPr="003A6442">
        <w:rPr>
          <w:rFonts w:ascii="Arial" w:hAnsi="Arial" w:cs="Arial"/>
          <w:sz w:val="18"/>
          <w:szCs w:val="18"/>
        </w:rPr>
        <w:t xml:space="preserve"> Martin, J. and Dakin T.  2003b.  The Quality of a Hidden Treasure: the Davis Creek Report. February 2003. Ann Arbor, MI: HRWC.</w:t>
      </w:r>
    </w:p>
  </w:endnote>
  <w:endnote w:id="29">
    <w:p w14:paraId="740FEE70" w14:textId="77777777" w:rsidR="008B4D33" w:rsidRPr="003A6442" w:rsidRDefault="008B4D33" w:rsidP="00E14833">
      <w:pPr>
        <w:pStyle w:val="EndnoteText"/>
        <w:ind w:left="360" w:hanging="360"/>
        <w:rPr>
          <w:rFonts w:ascii="Arial" w:hAnsi="Arial" w:cs="Arial"/>
          <w:sz w:val="18"/>
          <w:szCs w:val="18"/>
        </w:rPr>
      </w:pPr>
      <w:r w:rsidRPr="003A6442">
        <w:rPr>
          <w:rStyle w:val="EndnoteReference"/>
          <w:rFonts w:ascii="Arial" w:hAnsi="Arial" w:cs="Arial"/>
          <w:sz w:val="18"/>
          <w:szCs w:val="18"/>
        </w:rPr>
        <w:endnoteRef/>
      </w:r>
      <w:r w:rsidRPr="003A6442">
        <w:rPr>
          <w:rFonts w:ascii="Arial" w:hAnsi="Arial" w:cs="Arial"/>
          <w:sz w:val="18"/>
          <w:szCs w:val="18"/>
        </w:rPr>
        <w:t xml:space="preserve"> Hilsenhoff, </w:t>
      </w:r>
      <w:r w:rsidRPr="003A6442">
        <w:rPr>
          <w:rStyle w:val="nlmstring-name"/>
          <w:rFonts w:ascii="Arial" w:hAnsi="Arial" w:cs="Arial"/>
          <w:color w:val="000000"/>
          <w:sz w:val="18"/>
          <w:szCs w:val="18"/>
          <w:shd w:val="clear" w:color="auto" w:fill="FFFFFF"/>
        </w:rPr>
        <w:t xml:space="preserve">William L. 1988. </w:t>
      </w:r>
      <w:r w:rsidRPr="003A6442">
        <w:rPr>
          <w:rFonts w:ascii="Arial" w:hAnsi="Arial" w:cs="Arial"/>
          <w:color w:val="000000"/>
          <w:sz w:val="18"/>
          <w:szCs w:val="18"/>
          <w:shd w:val="clear" w:color="auto" w:fill="FFFFFF"/>
        </w:rPr>
        <w:t>Rapid Field Assessment of Organic Pollution with a Family-Level Biotic Index. Journal of the North American Benthological Society 7:65-68.</w:t>
      </w:r>
    </w:p>
  </w:endnote>
  <w:endnote w:id="30">
    <w:p w14:paraId="223B3F44" w14:textId="77777777" w:rsidR="008B4D33" w:rsidRPr="003A6442" w:rsidRDefault="008B4D33" w:rsidP="00E14833">
      <w:pPr>
        <w:pStyle w:val="EndnoteText"/>
        <w:ind w:left="360" w:hanging="360"/>
        <w:rPr>
          <w:rFonts w:ascii="Arial" w:hAnsi="Arial" w:cs="Arial"/>
          <w:sz w:val="18"/>
          <w:szCs w:val="18"/>
        </w:rPr>
      </w:pPr>
      <w:r w:rsidRPr="003A6442">
        <w:rPr>
          <w:rStyle w:val="EndnoteReference"/>
          <w:rFonts w:ascii="Arial" w:hAnsi="Arial" w:cs="Arial"/>
          <w:sz w:val="18"/>
          <w:szCs w:val="18"/>
        </w:rPr>
        <w:endnoteRef/>
      </w:r>
      <w:r w:rsidRPr="003A6442">
        <w:rPr>
          <w:rFonts w:ascii="Arial" w:hAnsi="Arial" w:cs="Arial"/>
          <w:sz w:val="18"/>
          <w:szCs w:val="18"/>
        </w:rPr>
        <w:t xml:space="preserve"> Dakin and Martin.  2003a.</w:t>
      </w:r>
    </w:p>
  </w:endnote>
  <w:endnote w:id="31">
    <w:p w14:paraId="55F6E1DA" w14:textId="77777777" w:rsidR="008B4D33" w:rsidRPr="003A6442" w:rsidRDefault="008B4D33" w:rsidP="00E14833">
      <w:pPr>
        <w:pStyle w:val="EndnoteText"/>
        <w:ind w:left="360" w:hanging="360"/>
        <w:rPr>
          <w:rFonts w:ascii="Arial" w:hAnsi="Arial" w:cs="Arial"/>
          <w:sz w:val="18"/>
          <w:szCs w:val="18"/>
        </w:rPr>
      </w:pPr>
      <w:r w:rsidRPr="003A6442">
        <w:rPr>
          <w:rStyle w:val="EndnoteReference"/>
          <w:rFonts w:ascii="Arial" w:hAnsi="Arial" w:cs="Arial"/>
          <w:sz w:val="18"/>
          <w:szCs w:val="18"/>
        </w:rPr>
        <w:endnoteRef/>
      </w:r>
      <w:r w:rsidRPr="003A6442">
        <w:rPr>
          <w:rFonts w:ascii="Arial" w:hAnsi="Arial" w:cs="Arial"/>
          <w:sz w:val="18"/>
          <w:szCs w:val="18"/>
        </w:rPr>
        <w:t xml:space="preserve"> Michigan Department of Natural Resources. 1995. Huron River Assessment. Fisheries Special Report No. 16</w:t>
      </w:r>
    </w:p>
  </w:endnote>
  <w:endnote w:id="32">
    <w:p w14:paraId="7B435357" w14:textId="77777777" w:rsidR="008B4D33" w:rsidRPr="003A6442" w:rsidRDefault="008B4D33" w:rsidP="00E14833">
      <w:pPr>
        <w:pStyle w:val="EndnoteText"/>
        <w:ind w:left="360" w:hanging="360"/>
        <w:rPr>
          <w:rFonts w:ascii="Arial" w:hAnsi="Arial" w:cs="Arial"/>
          <w:sz w:val="18"/>
          <w:szCs w:val="18"/>
        </w:rPr>
      </w:pPr>
      <w:r w:rsidRPr="003A6442">
        <w:rPr>
          <w:rStyle w:val="EndnoteReference"/>
          <w:rFonts w:ascii="Arial" w:hAnsi="Arial" w:cs="Arial"/>
          <w:sz w:val="18"/>
          <w:szCs w:val="18"/>
        </w:rPr>
        <w:endnoteRef/>
      </w:r>
      <w:r w:rsidRPr="003A6442">
        <w:rPr>
          <w:rFonts w:ascii="Arial" w:hAnsi="Arial" w:cs="Arial"/>
          <w:sz w:val="18"/>
          <w:szCs w:val="18"/>
        </w:rPr>
        <w:t xml:space="preserve"> Brown and Funk 1938 in Michigan Department of Natural Resources. 1995. Huron River Assessment. Fisheries Special Report No. 16</w:t>
      </w:r>
    </w:p>
  </w:endnote>
  <w:endnote w:id="33">
    <w:p w14:paraId="1D5ECC7D" w14:textId="77777777" w:rsidR="008B4D33" w:rsidRPr="003A6442" w:rsidRDefault="008B4D33" w:rsidP="00E14833">
      <w:pPr>
        <w:autoSpaceDE w:val="0"/>
        <w:autoSpaceDN w:val="0"/>
        <w:adjustRightInd w:val="0"/>
        <w:ind w:left="360" w:hanging="360"/>
        <w:rPr>
          <w:rFonts w:ascii="Arial" w:hAnsi="Arial" w:cs="Arial"/>
          <w:sz w:val="18"/>
          <w:szCs w:val="18"/>
        </w:rPr>
      </w:pPr>
      <w:r w:rsidRPr="003A6442">
        <w:rPr>
          <w:rStyle w:val="EndnoteReference"/>
          <w:rFonts w:ascii="Arial" w:hAnsi="Arial" w:cs="Arial"/>
          <w:sz w:val="18"/>
          <w:szCs w:val="18"/>
        </w:rPr>
        <w:endnoteRef/>
      </w:r>
      <w:r w:rsidRPr="003A6442">
        <w:rPr>
          <w:rFonts w:ascii="Arial" w:hAnsi="Arial" w:cs="Arial"/>
          <w:sz w:val="18"/>
          <w:szCs w:val="18"/>
        </w:rPr>
        <w:t xml:space="preserve"> Michigan Department of Natural Resources.  2000.  Michigan stream classification: 1967 system. Chapter 20 </w:t>
      </w:r>
      <w:r w:rsidRPr="003A6442">
        <w:rPr>
          <w:rFonts w:ascii="Arial" w:hAnsi="Arial" w:cs="Arial"/>
          <w:i/>
          <w:sz w:val="18"/>
          <w:szCs w:val="18"/>
        </w:rPr>
        <w:t xml:space="preserve">in </w:t>
      </w:r>
      <w:r w:rsidRPr="003A6442">
        <w:rPr>
          <w:rFonts w:ascii="Arial" w:hAnsi="Arial" w:cs="Arial"/>
          <w:sz w:val="18"/>
          <w:szCs w:val="18"/>
        </w:rPr>
        <w:t>Schneider, James C. (ed.) 2000. Manual of fisheries survey methods II: with periodic updates.  MDNR Fisheries Special Report 25.  Ann Arbor, MI: MDNR.</w:t>
      </w:r>
    </w:p>
  </w:endnote>
  <w:endnote w:id="34">
    <w:p w14:paraId="58D7972C" w14:textId="77777777" w:rsidR="008B4D33" w:rsidRPr="003A6442" w:rsidRDefault="008B4D33" w:rsidP="00E14833">
      <w:pPr>
        <w:pStyle w:val="EndnoteText"/>
        <w:ind w:left="360" w:hanging="360"/>
        <w:rPr>
          <w:rFonts w:ascii="Arial" w:hAnsi="Arial" w:cs="Arial"/>
          <w:sz w:val="18"/>
          <w:szCs w:val="18"/>
        </w:rPr>
      </w:pPr>
      <w:r w:rsidRPr="003A6442">
        <w:rPr>
          <w:rStyle w:val="EndnoteReference"/>
          <w:rFonts w:ascii="Arial" w:hAnsi="Arial" w:cs="Arial"/>
          <w:sz w:val="18"/>
          <w:szCs w:val="18"/>
        </w:rPr>
        <w:endnoteRef/>
      </w:r>
      <w:r w:rsidRPr="003A6442">
        <w:rPr>
          <w:rFonts w:ascii="Arial" w:hAnsi="Arial" w:cs="Arial"/>
          <w:sz w:val="18"/>
          <w:szCs w:val="18"/>
        </w:rPr>
        <w:t xml:space="preserve"> U.S. Environmental Protection Agency.  1980.  Modeling Phosphorus Loading and Lake Response under Uncertainty: A Manual and Compilation of Export Coefficients.  EPA report No. 440/5-80-011.</w:t>
      </w:r>
    </w:p>
  </w:endnote>
  <w:endnote w:id="35">
    <w:p w14:paraId="61CF62ED" w14:textId="77777777" w:rsidR="008B4D33" w:rsidRPr="003C1B53" w:rsidRDefault="008B4D33" w:rsidP="00E14833">
      <w:pPr>
        <w:pStyle w:val="EndnoteText"/>
        <w:ind w:left="360" w:hanging="360"/>
        <w:rPr>
          <w:rFonts w:ascii="Arial" w:hAnsi="Arial" w:cs="Arial"/>
          <w:sz w:val="18"/>
          <w:szCs w:val="18"/>
        </w:rPr>
      </w:pPr>
      <w:r w:rsidRPr="003A6442">
        <w:rPr>
          <w:rStyle w:val="EndnoteReference"/>
          <w:rFonts w:ascii="Arial" w:hAnsi="Arial" w:cs="Arial"/>
          <w:sz w:val="18"/>
          <w:szCs w:val="18"/>
        </w:rPr>
        <w:endnoteRef/>
      </w:r>
      <w:r w:rsidRPr="003A6442">
        <w:rPr>
          <w:rFonts w:ascii="Arial" w:hAnsi="Arial" w:cs="Arial"/>
          <w:sz w:val="18"/>
          <w:szCs w:val="18"/>
        </w:rPr>
        <w:t xml:space="preserve"> U.S. Environmental Protection Agency, Office of Water.  2000.  Nutrient Criteria Technical Guidance Manual: Lakes and Reservoirs, 1</w:t>
      </w:r>
      <w:r w:rsidRPr="003A6442">
        <w:rPr>
          <w:rFonts w:ascii="Arial" w:hAnsi="Arial" w:cs="Arial"/>
          <w:sz w:val="18"/>
          <w:szCs w:val="18"/>
          <w:vertAlign w:val="superscript"/>
        </w:rPr>
        <w:t>st</w:t>
      </w:r>
      <w:r w:rsidRPr="003A6442">
        <w:rPr>
          <w:rFonts w:ascii="Arial" w:hAnsi="Arial" w:cs="Arial"/>
          <w:sz w:val="18"/>
          <w:szCs w:val="18"/>
        </w:rPr>
        <w:t xml:space="preserve"> Edition.  Report No. EPA-822-B00-001.</w:t>
      </w:r>
    </w:p>
  </w:endnote>
  <w:endnote w:id="36">
    <w:p w14:paraId="6DD25A3A" w14:textId="361D819F" w:rsidR="008B4D33" w:rsidRDefault="008B4D33">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 w:name="Maiandra GD">
    <w:panose1 w:val="020E0502030308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13C73B" w14:textId="77777777" w:rsidR="00FF0338" w:rsidRDefault="00FF033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027A83" w14:textId="73DF05C7" w:rsidR="008B4D33" w:rsidRDefault="008B4D33">
    <w:pPr>
      <w:pStyle w:val="Footer"/>
      <w:jc w:val="center"/>
    </w:pPr>
    <w:r>
      <w:t>2-</w:t>
    </w:r>
    <w:sdt>
      <w:sdtPr>
        <w:id w:val="122970258"/>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2FA3EB7C" w14:textId="77777777" w:rsidR="008B4D33" w:rsidRDefault="008B4D3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3D69FC" w14:textId="77777777" w:rsidR="00FF0338" w:rsidRDefault="00FF033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26C0C8" w14:textId="5941A476" w:rsidR="00467A90" w:rsidRDefault="00064C52">
    <w:pPr>
      <w:pStyle w:val="Footer"/>
      <w:jc w:val="center"/>
    </w:pPr>
    <w:r>
      <w:t>2</w:t>
    </w:r>
    <w:r w:rsidR="00467A90">
      <w:t>-</w:t>
    </w:r>
    <w:r w:rsidR="00467A90">
      <w:fldChar w:fldCharType="begin"/>
    </w:r>
    <w:r w:rsidR="00467A90">
      <w:instrText xml:space="preserve"> PAGE   \* MERGEFORMAT </w:instrText>
    </w:r>
    <w:r w:rsidR="00467A90">
      <w:fldChar w:fldCharType="separate"/>
    </w:r>
    <w:r w:rsidR="00467A90">
      <w:rPr>
        <w:noProof/>
      </w:rPr>
      <w:t>2</w:t>
    </w:r>
    <w:r w:rsidR="00467A90">
      <w:rPr>
        <w:noProof/>
      </w:rPr>
      <w:fldChar w:fldCharType="end"/>
    </w:r>
  </w:p>
  <w:p w14:paraId="0982393B" w14:textId="77777777" w:rsidR="00467A90" w:rsidRDefault="00467A9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51CFF2" w14:textId="77777777" w:rsidR="004E4195" w:rsidRDefault="004E4195">
      <w:r>
        <w:separator/>
      </w:r>
    </w:p>
  </w:footnote>
  <w:footnote w:type="continuationSeparator" w:id="0">
    <w:p w14:paraId="0CEA7BF1" w14:textId="77777777" w:rsidR="004E4195" w:rsidRDefault="004E419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FCAD8" w14:textId="77777777" w:rsidR="00FF0338" w:rsidRDefault="00FF033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CDF78B" w14:textId="77777777" w:rsidR="00FF0338" w:rsidRDefault="00FF033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BE358B" w14:textId="77777777" w:rsidR="00FF0338" w:rsidRDefault="00FF033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2B62B3"/>
    <w:multiLevelType w:val="hybridMultilevel"/>
    <w:tmpl w:val="6DE082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1B97C70"/>
    <w:multiLevelType w:val="hybridMultilevel"/>
    <w:tmpl w:val="7584B1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55E383C"/>
    <w:multiLevelType w:val="hybridMultilevel"/>
    <w:tmpl w:val="2E0CD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32242660">
    <w:abstractNumId w:val="1"/>
  </w:num>
  <w:num w:numId="2" w16cid:durableId="1467504614">
    <w:abstractNumId w:val="2"/>
  </w:num>
  <w:num w:numId="3" w16cid:durableId="1589270905">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numFmt w:val="decimal"/>
    <w:numStart w:val="7"/>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0E51"/>
    <w:rsid w:val="00001E98"/>
    <w:rsid w:val="00002A84"/>
    <w:rsid w:val="00002DDB"/>
    <w:rsid w:val="00003B0F"/>
    <w:rsid w:val="000047A3"/>
    <w:rsid w:val="00006BFD"/>
    <w:rsid w:val="00006D17"/>
    <w:rsid w:val="00010D6A"/>
    <w:rsid w:val="0001105E"/>
    <w:rsid w:val="0001183B"/>
    <w:rsid w:val="00014182"/>
    <w:rsid w:val="000157FD"/>
    <w:rsid w:val="00017A97"/>
    <w:rsid w:val="000204FA"/>
    <w:rsid w:val="00020814"/>
    <w:rsid w:val="00020A40"/>
    <w:rsid w:val="00021FF4"/>
    <w:rsid w:val="000220BB"/>
    <w:rsid w:val="00025519"/>
    <w:rsid w:val="0003144A"/>
    <w:rsid w:val="00033C64"/>
    <w:rsid w:val="000349B7"/>
    <w:rsid w:val="000378A7"/>
    <w:rsid w:val="00037C2C"/>
    <w:rsid w:val="0004105B"/>
    <w:rsid w:val="000417A5"/>
    <w:rsid w:val="00042193"/>
    <w:rsid w:val="00042CAA"/>
    <w:rsid w:val="00042CC0"/>
    <w:rsid w:val="0004310F"/>
    <w:rsid w:val="00046619"/>
    <w:rsid w:val="00047724"/>
    <w:rsid w:val="00047D97"/>
    <w:rsid w:val="000518B8"/>
    <w:rsid w:val="0005244C"/>
    <w:rsid w:val="000533B3"/>
    <w:rsid w:val="00055B73"/>
    <w:rsid w:val="000568B7"/>
    <w:rsid w:val="000572F4"/>
    <w:rsid w:val="0005785E"/>
    <w:rsid w:val="00060A36"/>
    <w:rsid w:val="00063DBD"/>
    <w:rsid w:val="000648DF"/>
    <w:rsid w:val="00064C52"/>
    <w:rsid w:val="00064FC6"/>
    <w:rsid w:val="00066C9F"/>
    <w:rsid w:val="00070648"/>
    <w:rsid w:val="000710BC"/>
    <w:rsid w:val="00071784"/>
    <w:rsid w:val="00074855"/>
    <w:rsid w:val="00077A82"/>
    <w:rsid w:val="00077FD2"/>
    <w:rsid w:val="00080224"/>
    <w:rsid w:val="00082929"/>
    <w:rsid w:val="00083327"/>
    <w:rsid w:val="000842AF"/>
    <w:rsid w:val="000845C0"/>
    <w:rsid w:val="0008609F"/>
    <w:rsid w:val="00086AE4"/>
    <w:rsid w:val="00090AEF"/>
    <w:rsid w:val="00092F08"/>
    <w:rsid w:val="00093912"/>
    <w:rsid w:val="00094BD4"/>
    <w:rsid w:val="000957CF"/>
    <w:rsid w:val="00095892"/>
    <w:rsid w:val="00096205"/>
    <w:rsid w:val="00097467"/>
    <w:rsid w:val="00097E67"/>
    <w:rsid w:val="000A20E8"/>
    <w:rsid w:val="000A3391"/>
    <w:rsid w:val="000A7007"/>
    <w:rsid w:val="000A7B89"/>
    <w:rsid w:val="000B1105"/>
    <w:rsid w:val="000B2D65"/>
    <w:rsid w:val="000B3D71"/>
    <w:rsid w:val="000B5AFA"/>
    <w:rsid w:val="000B6277"/>
    <w:rsid w:val="000C0BEE"/>
    <w:rsid w:val="000C0CF9"/>
    <w:rsid w:val="000C26E0"/>
    <w:rsid w:val="000C6FC0"/>
    <w:rsid w:val="000C73E8"/>
    <w:rsid w:val="000D1079"/>
    <w:rsid w:val="000D1665"/>
    <w:rsid w:val="000D2C52"/>
    <w:rsid w:val="000D2C83"/>
    <w:rsid w:val="000D305E"/>
    <w:rsid w:val="000D4AC7"/>
    <w:rsid w:val="000D58F2"/>
    <w:rsid w:val="000D6E70"/>
    <w:rsid w:val="000D6E7A"/>
    <w:rsid w:val="000D6F5C"/>
    <w:rsid w:val="000E168F"/>
    <w:rsid w:val="000E1A62"/>
    <w:rsid w:val="000E2B24"/>
    <w:rsid w:val="000E4668"/>
    <w:rsid w:val="000E4E04"/>
    <w:rsid w:val="000E651E"/>
    <w:rsid w:val="000E7D18"/>
    <w:rsid w:val="000F29F2"/>
    <w:rsid w:val="000F4273"/>
    <w:rsid w:val="000F65A3"/>
    <w:rsid w:val="000F7A1A"/>
    <w:rsid w:val="000F7ED5"/>
    <w:rsid w:val="001013E0"/>
    <w:rsid w:val="00101949"/>
    <w:rsid w:val="0010259A"/>
    <w:rsid w:val="00105AA9"/>
    <w:rsid w:val="0010666A"/>
    <w:rsid w:val="001066B7"/>
    <w:rsid w:val="0010776D"/>
    <w:rsid w:val="001102D6"/>
    <w:rsid w:val="00110697"/>
    <w:rsid w:val="00110CE2"/>
    <w:rsid w:val="0011120C"/>
    <w:rsid w:val="0011134A"/>
    <w:rsid w:val="00111D7C"/>
    <w:rsid w:val="00112107"/>
    <w:rsid w:val="0011276B"/>
    <w:rsid w:val="00112BB6"/>
    <w:rsid w:val="00112DAE"/>
    <w:rsid w:val="00113F37"/>
    <w:rsid w:val="00116741"/>
    <w:rsid w:val="00121E1C"/>
    <w:rsid w:val="001238D9"/>
    <w:rsid w:val="00125082"/>
    <w:rsid w:val="0012590C"/>
    <w:rsid w:val="00127D80"/>
    <w:rsid w:val="001329B6"/>
    <w:rsid w:val="00135836"/>
    <w:rsid w:val="00135893"/>
    <w:rsid w:val="0013614F"/>
    <w:rsid w:val="001377F4"/>
    <w:rsid w:val="00137B41"/>
    <w:rsid w:val="00137E0D"/>
    <w:rsid w:val="00140550"/>
    <w:rsid w:val="00142A36"/>
    <w:rsid w:val="00144D28"/>
    <w:rsid w:val="00147406"/>
    <w:rsid w:val="00150E59"/>
    <w:rsid w:val="00150F39"/>
    <w:rsid w:val="001535C2"/>
    <w:rsid w:val="001537EB"/>
    <w:rsid w:val="001543C1"/>
    <w:rsid w:val="00156531"/>
    <w:rsid w:val="0015682F"/>
    <w:rsid w:val="001604D0"/>
    <w:rsid w:val="00160CF9"/>
    <w:rsid w:val="001626FC"/>
    <w:rsid w:val="00162B5D"/>
    <w:rsid w:val="00163A0F"/>
    <w:rsid w:val="00163EBC"/>
    <w:rsid w:val="00165856"/>
    <w:rsid w:val="00165C45"/>
    <w:rsid w:val="0017153E"/>
    <w:rsid w:val="00171F78"/>
    <w:rsid w:val="0017357E"/>
    <w:rsid w:val="001735A1"/>
    <w:rsid w:val="00173620"/>
    <w:rsid w:val="0017541B"/>
    <w:rsid w:val="00176FE1"/>
    <w:rsid w:val="00177498"/>
    <w:rsid w:val="001779E6"/>
    <w:rsid w:val="001800B9"/>
    <w:rsid w:val="00183E02"/>
    <w:rsid w:val="0018417E"/>
    <w:rsid w:val="001860B3"/>
    <w:rsid w:val="00190CAA"/>
    <w:rsid w:val="00193982"/>
    <w:rsid w:val="0019406D"/>
    <w:rsid w:val="001954F6"/>
    <w:rsid w:val="00197048"/>
    <w:rsid w:val="001A48F5"/>
    <w:rsid w:val="001A5852"/>
    <w:rsid w:val="001A7701"/>
    <w:rsid w:val="001B0A0E"/>
    <w:rsid w:val="001B298D"/>
    <w:rsid w:val="001B34D9"/>
    <w:rsid w:val="001B3932"/>
    <w:rsid w:val="001B419F"/>
    <w:rsid w:val="001C3FA3"/>
    <w:rsid w:val="001C60DD"/>
    <w:rsid w:val="001C7C75"/>
    <w:rsid w:val="001D338A"/>
    <w:rsid w:val="001D378F"/>
    <w:rsid w:val="001D61FA"/>
    <w:rsid w:val="001D74CD"/>
    <w:rsid w:val="001E2419"/>
    <w:rsid w:val="001E5639"/>
    <w:rsid w:val="001E6CD7"/>
    <w:rsid w:val="001E7494"/>
    <w:rsid w:val="001F0963"/>
    <w:rsid w:val="001F0E1B"/>
    <w:rsid w:val="001F112D"/>
    <w:rsid w:val="001F19FB"/>
    <w:rsid w:val="001F22C0"/>
    <w:rsid w:val="001F304C"/>
    <w:rsid w:val="0020016E"/>
    <w:rsid w:val="0020196F"/>
    <w:rsid w:val="00201D3A"/>
    <w:rsid w:val="002029B9"/>
    <w:rsid w:val="00203E14"/>
    <w:rsid w:val="002047D3"/>
    <w:rsid w:val="002058E7"/>
    <w:rsid w:val="00206A51"/>
    <w:rsid w:val="0021027B"/>
    <w:rsid w:val="002117BC"/>
    <w:rsid w:val="0021455D"/>
    <w:rsid w:val="002177E8"/>
    <w:rsid w:val="00217EAE"/>
    <w:rsid w:val="00220E51"/>
    <w:rsid w:val="00221205"/>
    <w:rsid w:val="002221A0"/>
    <w:rsid w:val="00223C6F"/>
    <w:rsid w:val="00224343"/>
    <w:rsid w:val="00225E34"/>
    <w:rsid w:val="002303C8"/>
    <w:rsid w:val="00232F90"/>
    <w:rsid w:val="002331FD"/>
    <w:rsid w:val="00234B45"/>
    <w:rsid w:val="00236449"/>
    <w:rsid w:val="00242080"/>
    <w:rsid w:val="00242EB6"/>
    <w:rsid w:val="00245E14"/>
    <w:rsid w:val="00247FEA"/>
    <w:rsid w:val="002513C3"/>
    <w:rsid w:val="002515BC"/>
    <w:rsid w:val="00253F93"/>
    <w:rsid w:val="00254082"/>
    <w:rsid w:val="00255D86"/>
    <w:rsid w:val="00256C42"/>
    <w:rsid w:val="002573EA"/>
    <w:rsid w:val="002574E6"/>
    <w:rsid w:val="00261A44"/>
    <w:rsid w:val="00263988"/>
    <w:rsid w:val="00266326"/>
    <w:rsid w:val="00267982"/>
    <w:rsid w:val="002706D7"/>
    <w:rsid w:val="002710C2"/>
    <w:rsid w:val="00271700"/>
    <w:rsid w:val="00272121"/>
    <w:rsid w:val="00280BCF"/>
    <w:rsid w:val="002821A8"/>
    <w:rsid w:val="002827B7"/>
    <w:rsid w:val="00282DD5"/>
    <w:rsid w:val="002870D3"/>
    <w:rsid w:val="002902BE"/>
    <w:rsid w:val="00292522"/>
    <w:rsid w:val="002A0385"/>
    <w:rsid w:val="002A08DB"/>
    <w:rsid w:val="002A0F47"/>
    <w:rsid w:val="002A151A"/>
    <w:rsid w:val="002A1F5A"/>
    <w:rsid w:val="002A2E68"/>
    <w:rsid w:val="002A397E"/>
    <w:rsid w:val="002A52FF"/>
    <w:rsid w:val="002A66FF"/>
    <w:rsid w:val="002A6A36"/>
    <w:rsid w:val="002A70E4"/>
    <w:rsid w:val="002B0C33"/>
    <w:rsid w:val="002B1EBF"/>
    <w:rsid w:val="002B2152"/>
    <w:rsid w:val="002B67E9"/>
    <w:rsid w:val="002B6CEA"/>
    <w:rsid w:val="002B6F34"/>
    <w:rsid w:val="002C000D"/>
    <w:rsid w:val="002C07A1"/>
    <w:rsid w:val="002C07F1"/>
    <w:rsid w:val="002C4372"/>
    <w:rsid w:val="002C4458"/>
    <w:rsid w:val="002C579E"/>
    <w:rsid w:val="002D1585"/>
    <w:rsid w:val="002D4ED2"/>
    <w:rsid w:val="002D6DC3"/>
    <w:rsid w:val="002D7662"/>
    <w:rsid w:val="002D7E5B"/>
    <w:rsid w:val="002E0BC8"/>
    <w:rsid w:val="002E2AC2"/>
    <w:rsid w:val="002E30C9"/>
    <w:rsid w:val="002E5770"/>
    <w:rsid w:val="002E6163"/>
    <w:rsid w:val="002E68B6"/>
    <w:rsid w:val="002E722B"/>
    <w:rsid w:val="002F0D2F"/>
    <w:rsid w:val="002F2CDE"/>
    <w:rsid w:val="002F4E82"/>
    <w:rsid w:val="002F556E"/>
    <w:rsid w:val="002F58C3"/>
    <w:rsid w:val="002F6373"/>
    <w:rsid w:val="002F67E0"/>
    <w:rsid w:val="002F6B88"/>
    <w:rsid w:val="003015F4"/>
    <w:rsid w:val="0030540F"/>
    <w:rsid w:val="003059FA"/>
    <w:rsid w:val="00305D2D"/>
    <w:rsid w:val="00305DF4"/>
    <w:rsid w:val="00310A93"/>
    <w:rsid w:val="00310B58"/>
    <w:rsid w:val="00310CB9"/>
    <w:rsid w:val="00310DAE"/>
    <w:rsid w:val="00312189"/>
    <w:rsid w:val="003121E8"/>
    <w:rsid w:val="0031290C"/>
    <w:rsid w:val="0031470D"/>
    <w:rsid w:val="00314B96"/>
    <w:rsid w:val="00314C9C"/>
    <w:rsid w:val="00317961"/>
    <w:rsid w:val="00320FB7"/>
    <w:rsid w:val="003219E5"/>
    <w:rsid w:val="00324278"/>
    <w:rsid w:val="00324BBF"/>
    <w:rsid w:val="00324D99"/>
    <w:rsid w:val="00325909"/>
    <w:rsid w:val="00327A1F"/>
    <w:rsid w:val="00334634"/>
    <w:rsid w:val="00334FA0"/>
    <w:rsid w:val="003356BB"/>
    <w:rsid w:val="003359FD"/>
    <w:rsid w:val="00341308"/>
    <w:rsid w:val="003419FD"/>
    <w:rsid w:val="00343145"/>
    <w:rsid w:val="00343444"/>
    <w:rsid w:val="0034376C"/>
    <w:rsid w:val="00343891"/>
    <w:rsid w:val="00344577"/>
    <w:rsid w:val="00345893"/>
    <w:rsid w:val="00346BC6"/>
    <w:rsid w:val="00346CCB"/>
    <w:rsid w:val="00350C74"/>
    <w:rsid w:val="0035288C"/>
    <w:rsid w:val="00353D02"/>
    <w:rsid w:val="00357E47"/>
    <w:rsid w:val="00360746"/>
    <w:rsid w:val="00360CDF"/>
    <w:rsid w:val="00361068"/>
    <w:rsid w:val="003612EA"/>
    <w:rsid w:val="00365358"/>
    <w:rsid w:val="0037047A"/>
    <w:rsid w:val="00375F8D"/>
    <w:rsid w:val="00380BCE"/>
    <w:rsid w:val="00381526"/>
    <w:rsid w:val="00382689"/>
    <w:rsid w:val="00384D5E"/>
    <w:rsid w:val="00386FA6"/>
    <w:rsid w:val="00390009"/>
    <w:rsid w:val="0039011B"/>
    <w:rsid w:val="00391A3E"/>
    <w:rsid w:val="00391FA1"/>
    <w:rsid w:val="00392B6F"/>
    <w:rsid w:val="0039346B"/>
    <w:rsid w:val="00393D89"/>
    <w:rsid w:val="0039684B"/>
    <w:rsid w:val="003A02E1"/>
    <w:rsid w:val="003A1C31"/>
    <w:rsid w:val="003A1ECB"/>
    <w:rsid w:val="003A2013"/>
    <w:rsid w:val="003A441B"/>
    <w:rsid w:val="003A6442"/>
    <w:rsid w:val="003A759F"/>
    <w:rsid w:val="003B10F5"/>
    <w:rsid w:val="003B1288"/>
    <w:rsid w:val="003B13B7"/>
    <w:rsid w:val="003B19F8"/>
    <w:rsid w:val="003B36CA"/>
    <w:rsid w:val="003B52A5"/>
    <w:rsid w:val="003B72E5"/>
    <w:rsid w:val="003B735E"/>
    <w:rsid w:val="003B7CFC"/>
    <w:rsid w:val="003C641A"/>
    <w:rsid w:val="003C689B"/>
    <w:rsid w:val="003C7298"/>
    <w:rsid w:val="003C7A43"/>
    <w:rsid w:val="003C7CF0"/>
    <w:rsid w:val="003D0ED3"/>
    <w:rsid w:val="003D1786"/>
    <w:rsid w:val="003D3EB9"/>
    <w:rsid w:val="003D5F1D"/>
    <w:rsid w:val="003D7FD7"/>
    <w:rsid w:val="003E0604"/>
    <w:rsid w:val="003E396B"/>
    <w:rsid w:val="003E48AE"/>
    <w:rsid w:val="003E4E3C"/>
    <w:rsid w:val="003F2AFB"/>
    <w:rsid w:val="003F4B6C"/>
    <w:rsid w:val="003F7B8B"/>
    <w:rsid w:val="003F7E97"/>
    <w:rsid w:val="00401187"/>
    <w:rsid w:val="00403A70"/>
    <w:rsid w:val="00406CB4"/>
    <w:rsid w:val="00407A1D"/>
    <w:rsid w:val="004114B3"/>
    <w:rsid w:val="004149A7"/>
    <w:rsid w:val="00415492"/>
    <w:rsid w:val="00415E19"/>
    <w:rsid w:val="004173E0"/>
    <w:rsid w:val="00421B94"/>
    <w:rsid w:val="004239C2"/>
    <w:rsid w:val="00426877"/>
    <w:rsid w:val="004278C0"/>
    <w:rsid w:val="0043025F"/>
    <w:rsid w:val="0043042B"/>
    <w:rsid w:val="00433242"/>
    <w:rsid w:val="004363E0"/>
    <w:rsid w:val="004424F3"/>
    <w:rsid w:val="00442BDF"/>
    <w:rsid w:val="004445D7"/>
    <w:rsid w:val="004550E3"/>
    <w:rsid w:val="004552C1"/>
    <w:rsid w:val="00456989"/>
    <w:rsid w:val="00456A6F"/>
    <w:rsid w:val="00457309"/>
    <w:rsid w:val="0045744F"/>
    <w:rsid w:val="00460149"/>
    <w:rsid w:val="00460ACF"/>
    <w:rsid w:val="004610DA"/>
    <w:rsid w:val="0046376D"/>
    <w:rsid w:val="004642BA"/>
    <w:rsid w:val="004649FD"/>
    <w:rsid w:val="0046568B"/>
    <w:rsid w:val="00466172"/>
    <w:rsid w:val="004669A1"/>
    <w:rsid w:val="00467A90"/>
    <w:rsid w:val="004708FA"/>
    <w:rsid w:val="00477E7C"/>
    <w:rsid w:val="00480B42"/>
    <w:rsid w:val="00480E6A"/>
    <w:rsid w:val="00483B28"/>
    <w:rsid w:val="00486CD6"/>
    <w:rsid w:val="00492943"/>
    <w:rsid w:val="00492E31"/>
    <w:rsid w:val="00494C4D"/>
    <w:rsid w:val="004955E6"/>
    <w:rsid w:val="00495F9F"/>
    <w:rsid w:val="004960B4"/>
    <w:rsid w:val="00496303"/>
    <w:rsid w:val="0049682C"/>
    <w:rsid w:val="0049686B"/>
    <w:rsid w:val="00496881"/>
    <w:rsid w:val="00497B85"/>
    <w:rsid w:val="004A0474"/>
    <w:rsid w:val="004A0C47"/>
    <w:rsid w:val="004A14A7"/>
    <w:rsid w:val="004A44B6"/>
    <w:rsid w:val="004A5BCB"/>
    <w:rsid w:val="004A5E11"/>
    <w:rsid w:val="004A5EC1"/>
    <w:rsid w:val="004B02E7"/>
    <w:rsid w:val="004B0859"/>
    <w:rsid w:val="004B3DB4"/>
    <w:rsid w:val="004C0970"/>
    <w:rsid w:val="004C1AEA"/>
    <w:rsid w:val="004C258F"/>
    <w:rsid w:val="004C2D71"/>
    <w:rsid w:val="004C3696"/>
    <w:rsid w:val="004C37EA"/>
    <w:rsid w:val="004C3B87"/>
    <w:rsid w:val="004C479A"/>
    <w:rsid w:val="004C5CC0"/>
    <w:rsid w:val="004C665F"/>
    <w:rsid w:val="004C7053"/>
    <w:rsid w:val="004D2722"/>
    <w:rsid w:val="004D4A1F"/>
    <w:rsid w:val="004D6A30"/>
    <w:rsid w:val="004D6F7F"/>
    <w:rsid w:val="004E0DBF"/>
    <w:rsid w:val="004E3CCB"/>
    <w:rsid w:val="004E4195"/>
    <w:rsid w:val="004E41FB"/>
    <w:rsid w:val="004E47D2"/>
    <w:rsid w:val="004E49A2"/>
    <w:rsid w:val="004E5E98"/>
    <w:rsid w:val="004E6117"/>
    <w:rsid w:val="004E72AE"/>
    <w:rsid w:val="004F0D73"/>
    <w:rsid w:val="004F0E21"/>
    <w:rsid w:val="004F2195"/>
    <w:rsid w:val="004F2D44"/>
    <w:rsid w:val="004F2FBB"/>
    <w:rsid w:val="004F44FA"/>
    <w:rsid w:val="004F5194"/>
    <w:rsid w:val="005004F4"/>
    <w:rsid w:val="005032D0"/>
    <w:rsid w:val="0050369B"/>
    <w:rsid w:val="00505A68"/>
    <w:rsid w:val="005078F2"/>
    <w:rsid w:val="0051101A"/>
    <w:rsid w:val="0051395C"/>
    <w:rsid w:val="00514697"/>
    <w:rsid w:val="00514A01"/>
    <w:rsid w:val="005155FF"/>
    <w:rsid w:val="0051719F"/>
    <w:rsid w:val="005174F1"/>
    <w:rsid w:val="00517535"/>
    <w:rsid w:val="00517698"/>
    <w:rsid w:val="00520F4D"/>
    <w:rsid w:val="00522D13"/>
    <w:rsid w:val="00523018"/>
    <w:rsid w:val="00523406"/>
    <w:rsid w:val="00523D0B"/>
    <w:rsid w:val="00523F15"/>
    <w:rsid w:val="00523FB0"/>
    <w:rsid w:val="00524972"/>
    <w:rsid w:val="00524DD4"/>
    <w:rsid w:val="0052579E"/>
    <w:rsid w:val="00525D1E"/>
    <w:rsid w:val="0052693E"/>
    <w:rsid w:val="005269EC"/>
    <w:rsid w:val="00530D4E"/>
    <w:rsid w:val="00532DF0"/>
    <w:rsid w:val="00535851"/>
    <w:rsid w:val="0054041E"/>
    <w:rsid w:val="00540766"/>
    <w:rsid w:val="00541395"/>
    <w:rsid w:val="00541F1D"/>
    <w:rsid w:val="005429BB"/>
    <w:rsid w:val="005458E9"/>
    <w:rsid w:val="00550CDC"/>
    <w:rsid w:val="00551BA8"/>
    <w:rsid w:val="005521D0"/>
    <w:rsid w:val="00553C50"/>
    <w:rsid w:val="005576EA"/>
    <w:rsid w:val="00557CB2"/>
    <w:rsid w:val="0056032F"/>
    <w:rsid w:val="00562236"/>
    <w:rsid w:val="005643D7"/>
    <w:rsid w:val="00564569"/>
    <w:rsid w:val="005658F0"/>
    <w:rsid w:val="00566F1A"/>
    <w:rsid w:val="005672D9"/>
    <w:rsid w:val="00567D8D"/>
    <w:rsid w:val="005704A8"/>
    <w:rsid w:val="0057057D"/>
    <w:rsid w:val="00571AF5"/>
    <w:rsid w:val="00571DD1"/>
    <w:rsid w:val="0057241E"/>
    <w:rsid w:val="0057285C"/>
    <w:rsid w:val="005735C3"/>
    <w:rsid w:val="00573B1D"/>
    <w:rsid w:val="0057447A"/>
    <w:rsid w:val="005760E5"/>
    <w:rsid w:val="00577529"/>
    <w:rsid w:val="00580CFC"/>
    <w:rsid w:val="00585CE8"/>
    <w:rsid w:val="00586197"/>
    <w:rsid w:val="00587412"/>
    <w:rsid w:val="00590161"/>
    <w:rsid w:val="0059043C"/>
    <w:rsid w:val="005906F9"/>
    <w:rsid w:val="005923B0"/>
    <w:rsid w:val="0059260D"/>
    <w:rsid w:val="00595A6B"/>
    <w:rsid w:val="00595FD3"/>
    <w:rsid w:val="005A0547"/>
    <w:rsid w:val="005A08F5"/>
    <w:rsid w:val="005A1BD7"/>
    <w:rsid w:val="005A2D19"/>
    <w:rsid w:val="005A5576"/>
    <w:rsid w:val="005A6548"/>
    <w:rsid w:val="005A735E"/>
    <w:rsid w:val="005A7715"/>
    <w:rsid w:val="005A7EE6"/>
    <w:rsid w:val="005B0917"/>
    <w:rsid w:val="005B0948"/>
    <w:rsid w:val="005B155B"/>
    <w:rsid w:val="005B43D1"/>
    <w:rsid w:val="005B4FDB"/>
    <w:rsid w:val="005B6D42"/>
    <w:rsid w:val="005C013F"/>
    <w:rsid w:val="005C25F1"/>
    <w:rsid w:val="005C2761"/>
    <w:rsid w:val="005C6172"/>
    <w:rsid w:val="005C6318"/>
    <w:rsid w:val="005C6554"/>
    <w:rsid w:val="005D18A5"/>
    <w:rsid w:val="005D37CD"/>
    <w:rsid w:val="005D4A49"/>
    <w:rsid w:val="005D525B"/>
    <w:rsid w:val="005D669E"/>
    <w:rsid w:val="005E286C"/>
    <w:rsid w:val="005E3CBA"/>
    <w:rsid w:val="005E7610"/>
    <w:rsid w:val="005E7E24"/>
    <w:rsid w:val="005F144B"/>
    <w:rsid w:val="005F2438"/>
    <w:rsid w:val="005F2A90"/>
    <w:rsid w:val="005F2FBF"/>
    <w:rsid w:val="005F4125"/>
    <w:rsid w:val="005F4376"/>
    <w:rsid w:val="005F5214"/>
    <w:rsid w:val="005F5824"/>
    <w:rsid w:val="005F6CCE"/>
    <w:rsid w:val="005F7555"/>
    <w:rsid w:val="00601E79"/>
    <w:rsid w:val="006022AA"/>
    <w:rsid w:val="00602AD0"/>
    <w:rsid w:val="006035F4"/>
    <w:rsid w:val="00604455"/>
    <w:rsid w:val="00604A47"/>
    <w:rsid w:val="00607BAF"/>
    <w:rsid w:val="0061490E"/>
    <w:rsid w:val="0061682C"/>
    <w:rsid w:val="00616B88"/>
    <w:rsid w:val="00625799"/>
    <w:rsid w:val="00631AAE"/>
    <w:rsid w:val="0063305A"/>
    <w:rsid w:val="006350EE"/>
    <w:rsid w:val="00636239"/>
    <w:rsid w:val="00636F36"/>
    <w:rsid w:val="006378F3"/>
    <w:rsid w:val="00637BF7"/>
    <w:rsid w:val="00640776"/>
    <w:rsid w:val="0064368D"/>
    <w:rsid w:val="00644F68"/>
    <w:rsid w:val="00645BC8"/>
    <w:rsid w:val="00650469"/>
    <w:rsid w:val="00650BC6"/>
    <w:rsid w:val="00651826"/>
    <w:rsid w:val="00651E51"/>
    <w:rsid w:val="00652908"/>
    <w:rsid w:val="00655479"/>
    <w:rsid w:val="00655DB3"/>
    <w:rsid w:val="0065623F"/>
    <w:rsid w:val="006569BF"/>
    <w:rsid w:val="00656EF2"/>
    <w:rsid w:val="0066089E"/>
    <w:rsid w:val="00663AF2"/>
    <w:rsid w:val="006656A1"/>
    <w:rsid w:val="00665CE2"/>
    <w:rsid w:val="00665DC1"/>
    <w:rsid w:val="0067029A"/>
    <w:rsid w:val="00672961"/>
    <w:rsid w:val="00674059"/>
    <w:rsid w:val="00676331"/>
    <w:rsid w:val="006771E5"/>
    <w:rsid w:val="00681DF6"/>
    <w:rsid w:val="00681E4A"/>
    <w:rsid w:val="00682A3C"/>
    <w:rsid w:val="006834E1"/>
    <w:rsid w:val="00685434"/>
    <w:rsid w:val="00687645"/>
    <w:rsid w:val="00691899"/>
    <w:rsid w:val="00691938"/>
    <w:rsid w:val="00691B04"/>
    <w:rsid w:val="00692A40"/>
    <w:rsid w:val="00693018"/>
    <w:rsid w:val="00693978"/>
    <w:rsid w:val="00694EC8"/>
    <w:rsid w:val="00696226"/>
    <w:rsid w:val="006A09C2"/>
    <w:rsid w:val="006A29C3"/>
    <w:rsid w:val="006A2F21"/>
    <w:rsid w:val="006A304B"/>
    <w:rsid w:val="006A4A6C"/>
    <w:rsid w:val="006A541F"/>
    <w:rsid w:val="006A59C1"/>
    <w:rsid w:val="006A60B7"/>
    <w:rsid w:val="006B0009"/>
    <w:rsid w:val="006B1DAE"/>
    <w:rsid w:val="006B48A2"/>
    <w:rsid w:val="006B4EE6"/>
    <w:rsid w:val="006B52C0"/>
    <w:rsid w:val="006B5F3B"/>
    <w:rsid w:val="006B5FE3"/>
    <w:rsid w:val="006B68AE"/>
    <w:rsid w:val="006C7985"/>
    <w:rsid w:val="006C7B30"/>
    <w:rsid w:val="006C7F76"/>
    <w:rsid w:val="006D023D"/>
    <w:rsid w:val="006D13D0"/>
    <w:rsid w:val="006D1C5F"/>
    <w:rsid w:val="006D34B3"/>
    <w:rsid w:val="006D5815"/>
    <w:rsid w:val="006D5D99"/>
    <w:rsid w:val="006D5E02"/>
    <w:rsid w:val="006D5FB4"/>
    <w:rsid w:val="006E056C"/>
    <w:rsid w:val="006E3638"/>
    <w:rsid w:val="006E5D33"/>
    <w:rsid w:val="006E7656"/>
    <w:rsid w:val="006E7ED8"/>
    <w:rsid w:val="006F0F4E"/>
    <w:rsid w:val="006F1E0A"/>
    <w:rsid w:val="006F67E7"/>
    <w:rsid w:val="006F6D0C"/>
    <w:rsid w:val="00700777"/>
    <w:rsid w:val="00701BF8"/>
    <w:rsid w:val="007020A7"/>
    <w:rsid w:val="00704DFC"/>
    <w:rsid w:val="00706E6B"/>
    <w:rsid w:val="00707482"/>
    <w:rsid w:val="007076A1"/>
    <w:rsid w:val="00710781"/>
    <w:rsid w:val="00712067"/>
    <w:rsid w:val="00714557"/>
    <w:rsid w:val="00715341"/>
    <w:rsid w:val="0072227F"/>
    <w:rsid w:val="00723109"/>
    <w:rsid w:val="00724F42"/>
    <w:rsid w:val="00730FD3"/>
    <w:rsid w:val="00734BD0"/>
    <w:rsid w:val="00734EFD"/>
    <w:rsid w:val="00735E42"/>
    <w:rsid w:val="00737790"/>
    <w:rsid w:val="00740B80"/>
    <w:rsid w:val="007411F7"/>
    <w:rsid w:val="007513FE"/>
    <w:rsid w:val="00752CC3"/>
    <w:rsid w:val="00753D1C"/>
    <w:rsid w:val="00757289"/>
    <w:rsid w:val="00757D29"/>
    <w:rsid w:val="00760D9A"/>
    <w:rsid w:val="00761435"/>
    <w:rsid w:val="00762715"/>
    <w:rsid w:val="00763EB1"/>
    <w:rsid w:val="00765AE4"/>
    <w:rsid w:val="00772175"/>
    <w:rsid w:val="00772D0D"/>
    <w:rsid w:val="00774BB6"/>
    <w:rsid w:val="00775363"/>
    <w:rsid w:val="00783DC3"/>
    <w:rsid w:val="007855F5"/>
    <w:rsid w:val="007861A1"/>
    <w:rsid w:val="00786E6D"/>
    <w:rsid w:val="00787796"/>
    <w:rsid w:val="00787A55"/>
    <w:rsid w:val="00791E87"/>
    <w:rsid w:val="00792EE5"/>
    <w:rsid w:val="007949E1"/>
    <w:rsid w:val="00794DDD"/>
    <w:rsid w:val="007952A1"/>
    <w:rsid w:val="00797C9E"/>
    <w:rsid w:val="007A25EE"/>
    <w:rsid w:val="007A6459"/>
    <w:rsid w:val="007A78EF"/>
    <w:rsid w:val="007B1243"/>
    <w:rsid w:val="007B2B54"/>
    <w:rsid w:val="007B30E5"/>
    <w:rsid w:val="007B60AC"/>
    <w:rsid w:val="007B6A7E"/>
    <w:rsid w:val="007B74AC"/>
    <w:rsid w:val="007B78F8"/>
    <w:rsid w:val="007C10D5"/>
    <w:rsid w:val="007C18C1"/>
    <w:rsid w:val="007C1C1F"/>
    <w:rsid w:val="007C3631"/>
    <w:rsid w:val="007C7F27"/>
    <w:rsid w:val="007D0FE4"/>
    <w:rsid w:val="007D12C9"/>
    <w:rsid w:val="007D40DC"/>
    <w:rsid w:val="007D5DCB"/>
    <w:rsid w:val="007D637D"/>
    <w:rsid w:val="007E0D69"/>
    <w:rsid w:val="007E470C"/>
    <w:rsid w:val="007E4C5A"/>
    <w:rsid w:val="007E6192"/>
    <w:rsid w:val="007E6B35"/>
    <w:rsid w:val="007F199A"/>
    <w:rsid w:val="007F2037"/>
    <w:rsid w:val="007F2895"/>
    <w:rsid w:val="007F37F4"/>
    <w:rsid w:val="007F589C"/>
    <w:rsid w:val="008018D4"/>
    <w:rsid w:val="00804230"/>
    <w:rsid w:val="0080435C"/>
    <w:rsid w:val="00806732"/>
    <w:rsid w:val="008072E3"/>
    <w:rsid w:val="0081240A"/>
    <w:rsid w:val="00814038"/>
    <w:rsid w:val="0081675C"/>
    <w:rsid w:val="008170A3"/>
    <w:rsid w:val="008202D6"/>
    <w:rsid w:val="00820642"/>
    <w:rsid w:val="0082219F"/>
    <w:rsid w:val="0082339F"/>
    <w:rsid w:val="008236CF"/>
    <w:rsid w:val="00823887"/>
    <w:rsid w:val="00824493"/>
    <w:rsid w:val="00825C83"/>
    <w:rsid w:val="00826F00"/>
    <w:rsid w:val="008318AA"/>
    <w:rsid w:val="00833507"/>
    <w:rsid w:val="00836490"/>
    <w:rsid w:val="00841B27"/>
    <w:rsid w:val="00841D43"/>
    <w:rsid w:val="0084237E"/>
    <w:rsid w:val="008456E0"/>
    <w:rsid w:val="0084647B"/>
    <w:rsid w:val="00846AD2"/>
    <w:rsid w:val="008512D7"/>
    <w:rsid w:val="008521C7"/>
    <w:rsid w:val="0085300F"/>
    <w:rsid w:val="00853800"/>
    <w:rsid w:val="00854CA5"/>
    <w:rsid w:val="008565D0"/>
    <w:rsid w:val="008602DC"/>
    <w:rsid w:val="008606CB"/>
    <w:rsid w:val="00862F51"/>
    <w:rsid w:val="00864457"/>
    <w:rsid w:val="00864938"/>
    <w:rsid w:val="00864BE2"/>
    <w:rsid w:val="00870073"/>
    <w:rsid w:val="00871015"/>
    <w:rsid w:val="00874D24"/>
    <w:rsid w:val="00876DF6"/>
    <w:rsid w:val="00880AF1"/>
    <w:rsid w:val="00881433"/>
    <w:rsid w:val="008817C2"/>
    <w:rsid w:val="00883A8E"/>
    <w:rsid w:val="008843BC"/>
    <w:rsid w:val="00884973"/>
    <w:rsid w:val="00885796"/>
    <w:rsid w:val="00891F4D"/>
    <w:rsid w:val="00892CBB"/>
    <w:rsid w:val="00893576"/>
    <w:rsid w:val="00895081"/>
    <w:rsid w:val="00895801"/>
    <w:rsid w:val="00895844"/>
    <w:rsid w:val="008A0FAB"/>
    <w:rsid w:val="008A1406"/>
    <w:rsid w:val="008A226C"/>
    <w:rsid w:val="008A2A31"/>
    <w:rsid w:val="008B01F9"/>
    <w:rsid w:val="008B262F"/>
    <w:rsid w:val="008B4D33"/>
    <w:rsid w:val="008B5584"/>
    <w:rsid w:val="008B64E5"/>
    <w:rsid w:val="008B6C4F"/>
    <w:rsid w:val="008B719D"/>
    <w:rsid w:val="008B7E3D"/>
    <w:rsid w:val="008B7EF7"/>
    <w:rsid w:val="008B7F65"/>
    <w:rsid w:val="008C205F"/>
    <w:rsid w:val="008C557C"/>
    <w:rsid w:val="008D06D1"/>
    <w:rsid w:val="008D2B34"/>
    <w:rsid w:val="008E003D"/>
    <w:rsid w:val="008E144C"/>
    <w:rsid w:val="008E2252"/>
    <w:rsid w:val="008E495F"/>
    <w:rsid w:val="008E5295"/>
    <w:rsid w:val="008E5440"/>
    <w:rsid w:val="008F1F14"/>
    <w:rsid w:val="008F2D90"/>
    <w:rsid w:val="008F345C"/>
    <w:rsid w:val="008F349A"/>
    <w:rsid w:val="008F4FF8"/>
    <w:rsid w:val="008F5DFF"/>
    <w:rsid w:val="0090127A"/>
    <w:rsid w:val="00906DEB"/>
    <w:rsid w:val="0090774C"/>
    <w:rsid w:val="00907937"/>
    <w:rsid w:val="00910298"/>
    <w:rsid w:val="00910D74"/>
    <w:rsid w:val="00911B78"/>
    <w:rsid w:val="009139A2"/>
    <w:rsid w:val="00913F44"/>
    <w:rsid w:val="009158FB"/>
    <w:rsid w:val="00920F5C"/>
    <w:rsid w:val="00923C15"/>
    <w:rsid w:val="00923D8D"/>
    <w:rsid w:val="00931982"/>
    <w:rsid w:val="00932AB8"/>
    <w:rsid w:val="00933D88"/>
    <w:rsid w:val="00934E0E"/>
    <w:rsid w:val="00937F61"/>
    <w:rsid w:val="009407D3"/>
    <w:rsid w:val="00940C3B"/>
    <w:rsid w:val="00942645"/>
    <w:rsid w:val="009446F1"/>
    <w:rsid w:val="00944C92"/>
    <w:rsid w:val="00945480"/>
    <w:rsid w:val="00945780"/>
    <w:rsid w:val="00946672"/>
    <w:rsid w:val="00947813"/>
    <w:rsid w:val="00947A10"/>
    <w:rsid w:val="00952A2D"/>
    <w:rsid w:val="00953994"/>
    <w:rsid w:val="00954D65"/>
    <w:rsid w:val="00960529"/>
    <w:rsid w:val="00960F96"/>
    <w:rsid w:val="0096116F"/>
    <w:rsid w:val="00966884"/>
    <w:rsid w:val="00966D31"/>
    <w:rsid w:val="00970F5C"/>
    <w:rsid w:val="0097274F"/>
    <w:rsid w:val="00980BD5"/>
    <w:rsid w:val="009819A5"/>
    <w:rsid w:val="009819B9"/>
    <w:rsid w:val="00984825"/>
    <w:rsid w:val="009900EE"/>
    <w:rsid w:val="00991E24"/>
    <w:rsid w:val="009921B8"/>
    <w:rsid w:val="009940A1"/>
    <w:rsid w:val="00994327"/>
    <w:rsid w:val="00994373"/>
    <w:rsid w:val="00995C9C"/>
    <w:rsid w:val="009A1C2B"/>
    <w:rsid w:val="009A2AF4"/>
    <w:rsid w:val="009A2CAD"/>
    <w:rsid w:val="009A3489"/>
    <w:rsid w:val="009A4A71"/>
    <w:rsid w:val="009A580F"/>
    <w:rsid w:val="009A6560"/>
    <w:rsid w:val="009A68F5"/>
    <w:rsid w:val="009B1041"/>
    <w:rsid w:val="009B3CB7"/>
    <w:rsid w:val="009B4F6A"/>
    <w:rsid w:val="009B6E22"/>
    <w:rsid w:val="009B7876"/>
    <w:rsid w:val="009B7F4E"/>
    <w:rsid w:val="009C012B"/>
    <w:rsid w:val="009C1904"/>
    <w:rsid w:val="009C3C4F"/>
    <w:rsid w:val="009C5F16"/>
    <w:rsid w:val="009C6C72"/>
    <w:rsid w:val="009C6D5C"/>
    <w:rsid w:val="009C781F"/>
    <w:rsid w:val="009D0FA0"/>
    <w:rsid w:val="009D149B"/>
    <w:rsid w:val="009E068C"/>
    <w:rsid w:val="009E0CE6"/>
    <w:rsid w:val="009E14C2"/>
    <w:rsid w:val="009E27AF"/>
    <w:rsid w:val="009E3CE0"/>
    <w:rsid w:val="009E48FA"/>
    <w:rsid w:val="009E5A34"/>
    <w:rsid w:val="009E5B13"/>
    <w:rsid w:val="009F075C"/>
    <w:rsid w:val="009F1AF8"/>
    <w:rsid w:val="009F274B"/>
    <w:rsid w:val="009F4423"/>
    <w:rsid w:val="009F6656"/>
    <w:rsid w:val="00A0025A"/>
    <w:rsid w:val="00A01DD1"/>
    <w:rsid w:val="00A04471"/>
    <w:rsid w:val="00A0673D"/>
    <w:rsid w:val="00A06766"/>
    <w:rsid w:val="00A1000F"/>
    <w:rsid w:val="00A1068F"/>
    <w:rsid w:val="00A12063"/>
    <w:rsid w:val="00A12489"/>
    <w:rsid w:val="00A211CA"/>
    <w:rsid w:val="00A228AE"/>
    <w:rsid w:val="00A2533F"/>
    <w:rsid w:val="00A26353"/>
    <w:rsid w:val="00A3054C"/>
    <w:rsid w:val="00A307F9"/>
    <w:rsid w:val="00A30E39"/>
    <w:rsid w:val="00A34600"/>
    <w:rsid w:val="00A359A8"/>
    <w:rsid w:val="00A404A0"/>
    <w:rsid w:val="00A40517"/>
    <w:rsid w:val="00A419E9"/>
    <w:rsid w:val="00A41C0C"/>
    <w:rsid w:val="00A4369E"/>
    <w:rsid w:val="00A43728"/>
    <w:rsid w:val="00A44196"/>
    <w:rsid w:val="00A44CBC"/>
    <w:rsid w:val="00A510DF"/>
    <w:rsid w:val="00A51EEB"/>
    <w:rsid w:val="00A52CB4"/>
    <w:rsid w:val="00A55B83"/>
    <w:rsid w:val="00A56DB7"/>
    <w:rsid w:val="00A611E1"/>
    <w:rsid w:val="00A6200C"/>
    <w:rsid w:val="00A6270C"/>
    <w:rsid w:val="00A62DCD"/>
    <w:rsid w:val="00A6305C"/>
    <w:rsid w:val="00A63720"/>
    <w:rsid w:val="00A650E8"/>
    <w:rsid w:val="00A70EA5"/>
    <w:rsid w:val="00A73E9F"/>
    <w:rsid w:val="00A74B51"/>
    <w:rsid w:val="00A74ED2"/>
    <w:rsid w:val="00A76157"/>
    <w:rsid w:val="00A82C72"/>
    <w:rsid w:val="00A83516"/>
    <w:rsid w:val="00A837A0"/>
    <w:rsid w:val="00A85A0A"/>
    <w:rsid w:val="00A910E8"/>
    <w:rsid w:val="00A916D3"/>
    <w:rsid w:val="00A95742"/>
    <w:rsid w:val="00A96700"/>
    <w:rsid w:val="00A9673E"/>
    <w:rsid w:val="00A96B15"/>
    <w:rsid w:val="00A9700E"/>
    <w:rsid w:val="00A97D9F"/>
    <w:rsid w:val="00AA0C8A"/>
    <w:rsid w:val="00AA2C5D"/>
    <w:rsid w:val="00AA5BCE"/>
    <w:rsid w:val="00AB48ED"/>
    <w:rsid w:val="00AB4F35"/>
    <w:rsid w:val="00AB6A05"/>
    <w:rsid w:val="00AB7CD2"/>
    <w:rsid w:val="00AC0EDC"/>
    <w:rsid w:val="00AC1F3E"/>
    <w:rsid w:val="00AC3268"/>
    <w:rsid w:val="00AC37D8"/>
    <w:rsid w:val="00AC5BA0"/>
    <w:rsid w:val="00AC68CA"/>
    <w:rsid w:val="00AD2F62"/>
    <w:rsid w:val="00AD3760"/>
    <w:rsid w:val="00AD71E2"/>
    <w:rsid w:val="00AE2283"/>
    <w:rsid w:val="00AE3EB8"/>
    <w:rsid w:val="00AE5E73"/>
    <w:rsid w:val="00AF182E"/>
    <w:rsid w:val="00AF30D2"/>
    <w:rsid w:val="00AF48A5"/>
    <w:rsid w:val="00AF7C28"/>
    <w:rsid w:val="00AF7C5C"/>
    <w:rsid w:val="00B039D0"/>
    <w:rsid w:val="00B04039"/>
    <w:rsid w:val="00B04EE4"/>
    <w:rsid w:val="00B05A2A"/>
    <w:rsid w:val="00B0750D"/>
    <w:rsid w:val="00B07BC0"/>
    <w:rsid w:val="00B07CA8"/>
    <w:rsid w:val="00B100C1"/>
    <w:rsid w:val="00B12828"/>
    <w:rsid w:val="00B15327"/>
    <w:rsid w:val="00B16B46"/>
    <w:rsid w:val="00B1773E"/>
    <w:rsid w:val="00B17ED5"/>
    <w:rsid w:val="00B21837"/>
    <w:rsid w:val="00B23EF3"/>
    <w:rsid w:val="00B267C0"/>
    <w:rsid w:val="00B270AB"/>
    <w:rsid w:val="00B302B2"/>
    <w:rsid w:val="00B30B23"/>
    <w:rsid w:val="00B324B5"/>
    <w:rsid w:val="00B33B3C"/>
    <w:rsid w:val="00B3439D"/>
    <w:rsid w:val="00B3567C"/>
    <w:rsid w:val="00B377E0"/>
    <w:rsid w:val="00B37839"/>
    <w:rsid w:val="00B40874"/>
    <w:rsid w:val="00B41E50"/>
    <w:rsid w:val="00B428F1"/>
    <w:rsid w:val="00B434DA"/>
    <w:rsid w:val="00B443DA"/>
    <w:rsid w:val="00B459A2"/>
    <w:rsid w:val="00B46492"/>
    <w:rsid w:val="00B469A4"/>
    <w:rsid w:val="00B52287"/>
    <w:rsid w:val="00B548E0"/>
    <w:rsid w:val="00B54FE5"/>
    <w:rsid w:val="00B65EF5"/>
    <w:rsid w:val="00B67C64"/>
    <w:rsid w:val="00B73823"/>
    <w:rsid w:val="00B73AA4"/>
    <w:rsid w:val="00B751D9"/>
    <w:rsid w:val="00B76D5D"/>
    <w:rsid w:val="00B76DBC"/>
    <w:rsid w:val="00B773D9"/>
    <w:rsid w:val="00B812CA"/>
    <w:rsid w:val="00B81FDA"/>
    <w:rsid w:val="00B82BC5"/>
    <w:rsid w:val="00B85082"/>
    <w:rsid w:val="00B85481"/>
    <w:rsid w:val="00B86CA0"/>
    <w:rsid w:val="00B901A6"/>
    <w:rsid w:val="00B91931"/>
    <w:rsid w:val="00B92772"/>
    <w:rsid w:val="00B948D7"/>
    <w:rsid w:val="00B94BB3"/>
    <w:rsid w:val="00B95A07"/>
    <w:rsid w:val="00B969C4"/>
    <w:rsid w:val="00BA0891"/>
    <w:rsid w:val="00BA11F1"/>
    <w:rsid w:val="00BA13D8"/>
    <w:rsid w:val="00BA1D94"/>
    <w:rsid w:val="00BA1FDB"/>
    <w:rsid w:val="00BA2FF3"/>
    <w:rsid w:val="00BB0C51"/>
    <w:rsid w:val="00BB0C89"/>
    <w:rsid w:val="00BB0E1E"/>
    <w:rsid w:val="00BB5CAE"/>
    <w:rsid w:val="00BB645B"/>
    <w:rsid w:val="00BB720D"/>
    <w:rsid w:val="00BB7F40"/>
    <w:rsid w:val="00BC097A"/>
    <w:rsid w:val="00BC287D"/>
    <w:rsid w:val="00BC2FB9"/>
    <w:rsid w:val="00BC3EE7"/>
    <w:rsid w:val="00BC4AB3"/>
    <w:rsid w:val="00BC5BA2"/>
    <w:rsid w:val="00BC5FBD"/>
    <w:rsid w:val="00BD06EC"/>
    <w:rsid w:val="00BD3285"/>
    <w:rsid w:val="00BD3602"/>
    <w:rsid w:val="00BD3C34"/>
    <w:rsid w:val="00BD6012"/>
    <w:rsid w:val="00BD7049"/>
    <w:rsid w:val="00BE09E1"/>
    <w:rsid w:val="00BE13A9"/>
    <w:rsid w:val="00BE2500"/>
    <w:rsid w:val="00BE4F7E"/>
    <w:rsid w:val="00BE629E"/>
    <w:rsid w:val="00BF0336"/>
    <w:rsid w:val="00BF067E"/>
    <w:rsid w:val="00BF4377"/>
    <w:rsid w:val="00BF535C"/>
    <w:rsid w:val="00BF68F5"/>
    <w:rsid w:val="00C004B9"/>
    <w:rsid w:val="00C01105"/>
    <w:rsid w:val="00C04D8C"/>
    <w:rsid w:val="00C06186"/>
    <w:rsid w:val="00C139CA"/>
    <w:rsid w:val="00C15F14"/>
    <w:rsid w:val="00C20D98"/>
    <w:rsid w:val="00C23A60"/>
    <w:rsid w:val="00C23E58"/>
    <w:rsid w:val="00C25DA9"/>
    <w:rsid w:val="00C26679"/>
    <w:rsid w:val="00C30ED0"/>
    <w:rsid w:val="00C3272B"/>
    <w:rsid w:val="00C32E92"/>
    <w:rsid w:val="00C33B39"/>
    <w:rsid w:val="00C34A7C"/>
    <w:rsid w:val="00C357D5"/>
    <w:rsid w:val="00C40FD3"/>
    <w:rsid w:val="00C41E91"/>
    <w:rsid w:val="00C427D8"/>
    <w:rsid w:val="00C42EA8"/>
    <w:rsid w:val="00C43BE6"/>
    <w:rsid w:val="00C44F0C"/>
    <w:rsid w:val="00C45C9D"/>
    <w:rsid w:val="00C46C3C"/>
    <w:rsid w:val="00C47460"/>
    <w:rsid w:val="00C47803"/>
    <w:rsid w:val="00C47B52"/>
    <w:rsid w:val="00C50D2E"/>
    <w:rsid w:val="00C5134F"/>
    <w:rsid w:val="00C5238F"/>
    <w:rsid w:val="00C52C01"/>
    <w:rsid w:val="00C54924"/>
    <w:rsid w:val="00C57D7C"/>
    <w:rsid w:val="00C605F4"/>
    <w:rsid w:val="00C6211B"/>
    <w:rsid w:val="00C625CD"/>
    <w:rsid w:val="00C62F62"/>
    <w:rsid w:val="00C62F9B"/>
    <w:rsid w:val="00C633C9"/>
    <w:rsid w:val="00C63D00"/>
    <w:rsid w:val="00C67468"/>
    <w:rsid w:val="00C67EDD"/>
    <w:rsid w:val="00C716B0"/>
    <w:rsid w:val="00C71FAA"/>
    <w:rsid w:val="00C71FD2"/>
    <w:rsid w:val="00C73FF9"/>
    <w:rsid w:val="00C74168"/>
    <w:rsid w:val="00C74A19"/>
    <w:rsid w:val="00C82B67"/>
    <w:rsid w:val="00C82CAB"/>
    <w:rsid w:val="00C83AA2"/>
    <w:rsid w:val="00C83B2C"/>
    <w:rsid w:val="00C84377"/>
    <w:rsid w:val="00C85172"/>
    <w:rsid w:val="00C8723F"/>
    <w:rsid w:val="00C87E11"/>
    <w:rsid w:val="00C909DB"/>
    <w:rsid w:val="00C910BC"/>
    <w:rsid w:val="00C9297E"/>
    <w:rsid w:val="00C93649"/>
    <w:rsid w:val="00C93B3F"/>
    <w:rsid w:val="00C94C37"/>
    <w:rsid w:val="00C94D9F"/>
    <w:rsid w:val="00C95A69"/>
    <w:rsid w:val="00C9626B"/>
    <w:rsid w:val="00C96761"/>
    <w:rsid w:val="00C96C44"/>
    <w:rsid w:val="00C96FF2"/>
    <w:rsid w:val="00CA0AB8"/>
    <w:rsid w:val="00CA0FCA"/>
    <w:rsid w:val="00CA1322"/>
    <w:rsid w:val="00CA1980"/>
    <w:rsid w:val="00CA1E6F"/>
    <w:rsid w:val="00CA3A01"/>
    <w:rsid w:val="00CA3D19"/>
    <w:rsid w:val="00CA3FEB"/>
    <w:rsid w:val="00CA6621"/>
    <w:rsid w:val="00CB00A8"/>
    <w:rsid w:val="00CB21FE"/>
    <w:rsid w:val="00CB2605"/>
    <w:rsid w:val="00CB34A7"/>
    <w:rsid w:val="00CB5ECD"/>
    <w:rsid w:val="00CB637C"/>
    <w:rsid w:val="00CB6CE6"/>
    <w:rsid w:val="00CB6E60"/>
    <w:rsid w:val="00CC0557"/>
    <w:rsid w:val="00CC1266"/>
    <w:rsid w:val="00CC29E6"/>
    <w:rsid w:val="00CC4420"/>
    <w:rsid w:val="00CC448F"/>
    <w:rsid w:val="00CC44E8"/>
    <w:rsid w:val="00CC565F"/>
    <w:rsid w:val="00CC759B"/>
    <w:rsid w:val="00CD0D00"/>
    <w:rsid w:val="00CD0E16"/>
    <w:rsid w:val="00CD14DD"/>
    <w:rsid w:val="00CD3F7E"/>
    <w:rsid w:val="00CD72BE"/>
    <w:rsid w:val="00CD766C"/>
    <w:rsid w:val="00CE0B0B"/>
    <w:rsid w:val="00CE115E"/>
    <w:rsid w:val="00CE155B"/>
    <w:rsid w:val="00CE2D5D"/>
    <w:rsid w:val="00CE41A7"/>
    <w:rsid w:val="00CE4267"/>
    <w:rsid w:val="00CE42E1"/>
    <w:rsid w:val="00CE4758"/>
    <w:rsid w:val="00CE5727"/>
    <w:rsid w:val="00CE7D0E"/>
    <w:rsid w:val="00CF012C"/>
    <w:rsid w:val="00CF09D0"/>
    <w:rsid w:val="00CF0A8A"/>
    <w:rsid w:val="00CF1E32"/>
    <w:rsid w:val="00CF2519"/>
    <w:rsid w:val="00CF334E"/>
    <w:rsid w:val="00CF3E8F"/>
    <w:rsid w:val="00CF538C"/>
    <w:rsid w:val="00D01771"/>
    <w:rsid w:val="00D02F9A"/>
    <w:rsid w:val="00D045FB"/>
    <w:rsid w:val="00D047BC"/>
    <w:rsid w:val="00D04FE2"/>
    <w:rsid w:val="00D055F6"/>
    <w:rsid w:val="00D13DBA"/>
    <w:rsid w:val="00D16CF9"/>
    <w:rsid w:val="00D17E36"/>
    <w:rsid w:val="00D205A6"/>
    <w:rsid w:val="00D2074E"/>
    <w:rsid w:val="00D21729"/>
    <w:rsid w:val="00D2185E"/>
    <w:rsid w:val="00D25591"/>
    <w:rsid w:val="00D310ED"/>
    <w:rsid w:val="00D32BEF"/>
    <w:rsid w:val="00D334FB"/>
    <w:rsid w:val="00D34B2B"/>
    <w:rsid w:val="00D34BEA"/>
    <w:rsid w:val="00D356DB"/>
    <w:rsid w:val="00D36B82"/>
    <w:rsid w:val="00D37607"/>
    <w:rsid w:val="00D40E11"/>
    <w:rsid w:val="00D413E2"/>
    <w:rsid w:val="00D417A4"/>
    <w:rsid w:val="00D437F7"/>
    <w:rsid w:val="00D43C9B"/>
    <w:rsid w:val="00D44AB3"/>
    <w:rsid w:val="00D46A76"/>
    <w:rsid w:val="00D51230"/>
    <w:rsid w:val="00D522A9"/>
    <w:rsid w:val="00D55011"/>
    <w:rsid w:val="00D572B2"/>
    <w:rsid w:val="00D575B9"/>
    <w:rsid w:val="00D60E23"/>
    <w:rsid w:val="00D61913"/>
    <w:rsid w:val="00D62C23"/>
    <w:rsid w:val="00D64544"/>
    <w:rsid w:val="00D65CBE"/>
    <w:rsid w:val="00D65E4D"/>
    <w:rsid w:val="00D66DFA"/>
    <w:rsid w:val="00D7052E"/>
    <w:rsid w:val="00D71616"/>
    <w:rsid w:val="00D72926"/>
    <w:rsid w:val="00D74386"/>
    <w:rsid w:val="00D746F3"/>
    <w:rsid w:val="00D774B8"/>
    <w:rsid w:val="00D77F67"/>
    <w:rsid w:val="00D8030D"/>
    <w:rsid w:val="00D809C3"/>
    <w:rsid w:val="00D82B06"/>
    <w:rsid w:val="00D8389E"/>
    <w:rsid w:val="00D84C57"/>
    <w:rsid w:val="00D85747"/>
    <w:rsid w:val="00D859BE"/>
    <w:rsid w:val="00D86FFF"/>
    <w:rsid w:val="00D904FF"/>
    <w:rsid w:val="00D9066A"/>
    <w:rsid w:val="00D90671"/>
    <w:rsid w:val="00D9205D"/>
    <w:rsid w:val="00D92BE7"/>
    <w:rsid w:val="00D94D72"/>
    <w:rsid w:val="00D95EFC"/>
    <w:rsid w:val="00D967CE"/>
    <w:rsid w:val="00D96AD8"/>
    <w:rsid w:val="00D97B97"/>
    <w:rsid w:val="00DA14B0"/>
    <w:rsid w:val="00DB0E91"/>
    <w:rsid w:val="00DB47B8"/>
    <w:rsid w:val="00DB5CF0"/>
    <w:rsid w:val="00DB6874"/>
    <w:rsid w:val="00DC2900"/>
    <w:rsid w:val="00DC7F0B"/>
    <w:rsid w:val="00DD0D22"/>
    <w:rsid w:val="00DD1010"/>
    <w:rsid w:val="00DD2090"/>
    <w:rsid w:val="00DD3BBF"/>
    <w:rsid w:val="00DD499C"/>
    <w:rsid w:val="00DD5582"/>
    <w:rsid w:val="00DD5FA6"/>
    <w:rsid w:val="00DD7874"/>
    <w:rsid w:val="00DE0213"/>
    <w:rsid w:val="00DE3599"/>
    <w:rsid w:val="00DE37E8"/>
    <w:rsid w:val="00DE4586"/>
    <w:rsid w:val="00DE5D3E"/>
    <w:rsid w:val="00DE67B4"/>
    <w:rsid w:val="00DE6E4E"/>
    <w:rsid w:val="00DF1127"/>
    <w:rsid w:val="00DF231E"/>
    <w:rsid w:val="00DF3B76"/>
    <w:rsid w:val="00DF4A3D"/>
    <w:rsid w:val="00DF4A88"/>
    <w:rsid w:val="00DF5005"/>
    <w:rsid w:val="00DF64AD"/>
    <w:rsid w:val="00DF78C4"/>
    <w:rsid w:val="00DF7BEE"/>
    <w:rsid w:val="00E019B1"/>
    <w:rsid w:val="00E0204C"/>
    <w:rsid w:val="00E021DD"/>
    <w:rsid w:val="00E035B6"/>
    <w:rsid w:val="00E03652"/>
    <w:rsid w:val="00E0492B"/>
    <w:rsid w:val="00E06E69"/>
    <w:rsid w:val="00E10381"/>
    <w:rsid w:val="00E10C40"/>
    <w:rsid w:val="00E11163"/>
    <w:rsid w:val="00E118C6"/>
    <w:rsid w:val="00E128C0"/>
    <w:rsid w:val="00E14800"/>
    <w:rsid w:val="00E14833"/>
    <w:rsid w:val="00E1739E"/>
    <w:rsid w:val="00E2132C"/>
    <w:rsid w:val="00E23081"/>
    <w:rsid w:val="00E24B13"/>
    <w:rsid w:val="00E27DC9"/>
    <w:rsid w:val="00E27F76"/>
    <w:rsid w:val="00E30509"/>
    <w:rsid w:val="00E31507"/>
    <w:rsid w:val="00E3179C"/>
    <w:rsid w:val="00E34238"/>
    <w:rsid w:val="00E34CF5"/>
    <w:rsid w:val="00E37011"/>
    <w:rsid w:val="00E40D0C"/>
    <w:rsid w:val="00E41644"/>
    <w:rsid w:val="00E44983"/>
    <w:rsid w:val="00E45224"/>
    <w:rsid w:val="00E45E1B"/>
    <w:rsid w:val="00E47198"/>
    <w:rsid w:val="00E50A98"/>
    <w:rsid w:val="00E53FEE"/>
    <w:rsid w:val="00E5442B"/>
    <w:rsid w:val="00E544B8"/>
    <w:rsid w:val="00E55B21"/>
    <w:rsid w:val="00E56D7F"/>
    <w:rsid w:val="00E60881"/>
    <w:rsid w:val="00E617D8"/>
    <w:rsid w:val="00E61D78"/>
    <w:rsid w:val="00E62345"/>
    <w:rsid w:val="00E62353"/>
    <w:rsid w:val="00E62F2C"/>
    <w:rsid w:val="00E671C5"/>
    <w:rsid w:val="00E70B5D"/>
    <w:rsid w:val="00E71D47"/>
    <w:rsid w:val="00E72FC8"/>
    <w:rsid w:val="00E76E51"/>
    <w:rsid w:val="00E8144A"/>
    <w:rsid w:val="00E82A4B"/>
    <w:rsid w:val="00E854F0"/>
    <w:rsid w:val="00E86A2C"/>
    <w:rsid w:val="00E87D6E"/>
    <w:rsid w:val="00E9104F"/>
    <w:rsid w:val="00E91A0E"/>
    <w:rsid w:val="00E91E34"/>
    <w:rsid w:val="00E93DD2"/>
    <w:rsid w:val="00E95B4B"/>
    <w:rsid w:val="00E961A4"/>
    <w:rsid w:val="00E96DCB"/>
    <w:rsid w:val="00EA3760"/>
    <w:rsid w:val="00EA472B"/>
    <w:rsid w:val="00EA5EAF"/>
    <w:rsid w:val="00EA623B"/>
    <w:rsid w:val="00EB2334"/>
    <w:rsid w:val="00EB415D"/>
    <w:rsid w:val="00EB5CE9"/>
    <w:rsid w:val="00EB75DD"/>
    <w:rsid w:val="00EC38E9"/>
    <w:rsid w:val="00EC60D0"/>
    <w:rsid w:val="00ED0F59"/>
    <w:rsid w:val="00ED1E95"/>
    <w:rsid w:val="00ED2935"/>
    <w:rsid w:val="00ED2F2F"/>
    <w:rsid w:val="00ED58AF"/>
    <w:rsid w:val="00ED658A"/>
    <w:rsid w:val="00ED6604"/>
    <w:rsid w:val="00ED694C"/>
    <w:rsid w:val="00ED79A4"/>
    <w:rsid w:val="00EE1E25"/>
    <w:rsid w:val="00EE3E4B"/>
    <w:rsid w:val="00EE563F"/>
    <w:rsid w:val="00EE6957"/>
    <w:rsid w:val="00EE6E81"/>
    <w:rsid w:val="00EE7EE0"/>
    <w:rsid w:val="00EF12C2"/>
    <w:rsid w:val="00EF1EBC"/>
    <w:rsid w:val="00EF4142"/>
    <w:rsid w:val="00EF4633"/>
    <w:rsid w:val="00EF5FCE"/>
    <w:rsid w:val="00EF6FBE"/>
    <w:rsid w:val="00F02B11"/>
    <w:rsid w:val="00F03768"/>
    <w:rsid w:val="00F07847"/>
    <w:rsid w:val="00F105B3"/>
    <w:rsid w:val="00F10BF3"/>
    <w:rsid w:val="00F110AF"/>
    <w:rsid w:val="00F11175"/>
    <w:rsid w:val="00F13492"/>
    <w:rsid w:val="00F154C5"/>
    <w:rsid w:val="00F155A6"/>
    <w:rsid w:val="00F17C54"/>
    <w:rsid w:val="00F208A3"/>
    <w:rsid w:val="00F21D38"/>
    <w:rsid w:val="00F22129"/>
    <w:rsid w:val="00F22B46"/>
    <w:rsid w:val="00F23BDD"/>
    <w:rsid w:val="00F277BD"/>
    <w:rsid w:val="00F304BF"/>
    <w:rsid w:val="00F30D51"/>
    <w:rsid w:val="00F321D9"/>
    <w:rsid w:val="00F326EB"/>
    <w:rsid w:val="00F329A8"/>
    <w:rsid w:val="00F32BEE"/>
    <w:rsid w:val="00F334A8"/>
    <w:rsid w:val="00F33683"/>
    <w:rsid w:val="00F3369A"/>
    <w:rsid w:val="00F34012"/>
    <w:rsid w:val="00F3522C"/>
    <w:rsid w:val="00F35AF3"/>
    <w:rsid w:val="00F36F7E"/>
    <w:rsid w:val="00F37044"/>
    <w:rsid w:val="00F376D5"/>
    <w:rsid w:val="00F450DD"/>
    <w:rsid w:val="00F46AC8"/>
    <w:rsid w:val="00F5050A"/>
    <w:rsid w:val="00F50D11"/>
    <w:rsid w:val="00F5126F"/>
    <w:rsid w:val="00F5159D"/>
    <w:rsid w:val="00F5191B"/>
    <w:rsid w:val="00F520D7"/>
    <w:rsid w:val="00F53026"/>
    <w:rsid w:val="00F53B40"/>
    <w:rsid w:val="00F55929"/>
    <w:rsid w:val="00F56387"/>
    <w:rsid w:val="00F563E6"/>
    <w:rsid w:val="00F57307"/>
    <w:rsid w:val="00F60479"/>
    <w:rsid w:val="00F60BE0"/>
    <w:rsid w:val="00F6156E"/>
    <w:rsid w:val="00F618E8"/>
    <w:rsid w:val="00F62192"/>
    <w:rsid w:val="00F62551"/>
    <w:rsid w:val="00F63028"/>
    <w:rsid w:val="00F63234"/>
    <w:rsid w:val="00F638EB"/>
    <w:rsid w:val="00F6570D"/>
    <w:rsid w:val="00F67374"/>
    <w:rsid w:val="00F71017"/>
    <w:rsid w:val="00F7177D"/>
    <w:rsid w:val="00F72360"/>
    <w:rsid w:val="00F80B98"/>
    <w:rsid w:val="00F82614"/>
    <w:rsid w:val="00F82945"/>
    <w:rsid w:val="00F8397E"/>
    <w:rsid w:val="00F83A64"/>
    <w:rsid w:val="00F8479B"/>
    <w:rsid w:val="00F84843"/>
    <w:rsid w:val="00F85639"/>
    <w:rsid w:val="00F9042A"/>
    <w:rsid w:val="00F91F97"/>
    <w:rsid w:val="00F932F4"/>
    <w:rsid w:val="00F938E4"/>
    <w:rsid w:val="00F95C98"/>
    <w:rsid w:val="00F96D2A"/>
    <w:rsid w:val="00F974DC"/>
    <w:rsid w:val="00FA003A"/>
    <w:rsid w:val="00FA0AE4"/>
    <w:rsid w:val="00FA1D8D"/>
    <w:rsid w:val="00FA244E"/>
    <w:rsid w:val="00FA26FF"/>
    <w:rsid w:val="00FA67BA"/>
    <w:rsid w:val="00FB0295"/>
    <w:rsid w:val="00FC5D18"/>
    <w:rsid w:val="00FC6695"/>
    <w:rsid w:val="00FC6A49"/>
    <w:rsid w:val="00FC6C37"/>
    <w:rsid w:val="00FD10A5"/>
    <w:rsid w:val="00FD150E"/>
    <w:rsid w:val="00FD218B"/>
    <w:rsid w:val="00FD52B2"/>
    <w:rsid w:val="00FD5352"/>
    <w:rsid w:val="00FD6D59"/>
    <w:rsid w:val="00FE0AB8"/>
    <w:rsid w:val="00FE1FF8"/>
    <w:rsid w:val="00FE4306"/>
    <w:rsid w:val="00FE4373"/>
    <w:rsid w:val="00FE5572"/>
    <w:rsid w:val="00FE5D5B"/>
    <w:rsid w:val="00FE63CD"/>
    <w:rsid w:val="00FE7A1E"/>
    <w:rsid w:val="00FE7BB3"/>
    <w:rsid w:val="00FF0338"/>
    <w:rsid w:val="00FF07A9"/>
    <w:rsid w:val="00FF0E26"/>
    <w:rsid w:val="00FF2B1A"/>
    <w:rsid w:val="00FF2D08"/>
    <w:rsid w:val="00FF3C28"/>
    <w:rsid w:val="00FF6F99"/>
    <w:rsid w:val="00FF74B2"/>
    <w:rsid w:val="031AFC1C"/>
    <w:rsid w:val="0564163C"/>
    <w:rsid w:val="06F83FA1"/>
    <w:rsid w:val="073BD556"/>
    <w:rsid w:val="098A7D2D"/>
    <w:rsid w:val="0A0E10F7"/>
    <w:rsid w:val="0B3F2091"/>
    <w:rsid w:val="0BB00204"/>
    <w:rsid w:val="0BB80DFA"/>
    <w:rsid w:val="10A2A8BA"/>
    <w:rsid w:val="117DB9AB"/>
    <w:rsid w:val="11F543DB"/>
    <w:rsid w:val="14E3F040"/>
    <w:rsid w:val="151CE389"/>
    <w:rsid w:val="172346A2"/>
    <w:rsid w:val="18F4C3B4"/>
    <w:rsid w:val="1A20ED4F"/>
    <w:rsid w:val="1AB0DD53"/>
    <w:rsid w:val="1B9A7F32"/>
    <w:rsid w:val="1CE1BC3F"/>
    <w:rsid w:val="211A0071"/>
    <w:rsid w:val="217B2679"/>
    <w:rsid w:val="21CB923D"/>
    <w:rsid w:val="24AE7204"/>
    <w:rsid w:val="25B75E6D"/>
    <w:rsid w:val="28868C19"/>
    <w:rsid w:val="2888218B"/>
    <w:rsid w:val="2E1E99DE"/>
    <w:rsid w:val="2EA1C413"/>
    <w:rsid w:val="32484A5B"/>
    <w:rsid w:val="336BFE15"/>
    <w:rsid w:val="33F2C151"/>
    <w:rsid w:val="34BF874E"/>
    <w:rsid w:val="3651AC04"/>
    <w:rsid w:val="3688FE58"/>
    <w:rsid w:val="36CF0B53"/>
    <w:rsid w:val="38655C30"/>
    <w:rsid w:val="38F4C700"/>
    <w:rsid w:val="3AC9E789"/>
    <w:rsid w:val="3B66CB46"/>
    <w:rsid w:val="3B6808A8"/>
    <w:rsid w:val="3D2CBE85"/>
    <w:rsid w:val="3D4F9C01"/>
    <w:rsid w:val="3D9AF0A6"/>
    <w:rsid w:val="40120A38"/>
    <w:rsid w:val="404727D2"/>
    <w:rsid w:val="40CD3493"/>
    <w:rsid w:val="413EC45D"/>
    <w:rsid w:val="41911062"/>
    <w:rsid w:val="4310A261"/>
    <w:rsid w:val="43953F35"/>
    <w:rsid w:val="45D7F7A9"/>
    <w:rsid w:val="479E722A"/>
    <w:rsid w:val="481B0CBC"/>
    <w:rsid w:val="48729F48"/>
    <w:rsid w:val="4896267E"/>
    <w:rsid w:val="48BBC517"/>
    <w:rsid w:val="4A871FF4"/>
    <w:rsid w:val="4A981467"/>
    <w:rsid w:val="4DAA1D98"/>
    <w:rsid w:val="4E64AEBB"/>
    <w:rsid w:val="4E6589CA"/>
    <w:rsid w:val="4EC53C8C"/>
    <w:rsid w:val="4F4AEA00"/>
    <w:rsid w:val="5034DAA4"/>
    <w:rsid w:val="50375BA9"/>
    <w:rsid w:val="52FC0C8D"/>
    <w:rsid w:val="54717CF0"/>
    <w:rsid w:val="553F9620"/>
    <w:rsid w:val="55571CC0"/>
    <w:rsid w:val="571E7DF7"/>
    <w:rsid w:val="57384F93"/>
    <w:rsid w:val="5A1D77B5"/>
    <w:rsid w:val="5E073994"/>
    <w:rsid w:val="5E566F32"/>
    <w:rsid w:val="611BC2C6"/>
    <w:rsid w:val="621D0B73"/>
    <w:rsid w:val="632320C7"/>
    <w:rsid w:val="64AC56F0"/>
    <w:rsid w:val="6504CECE"/>
    <w:rsid w:val="65B30F38"/>
    <w:rsid w:val="65CF4B4B"/>
    <w:rsid w:val="66550633"/>
    <w:rsid w:val="68D0DD12"/>
    <w:rsid w:val="6A3C6EF8"/>
    <w:rsid w:val="6A560F4F"/>
    <w:rsid w:val="6A6557DA"/>
    <w:rsid w:val="6C0D495D"/>
    <w:rsid w:val="6C91EDD1"/>
    <w:rsid w:val="6D6E6893"/>
    <w:rsid w:val="6FEE5E52"/>
    <w:rsid w:val="720B0CB4"/>
    <w:rsid w:val="760F3B51"/>
    <w:rsid w:val="76617768"/>
    <w:rsid w:val="76F887CF"/>
    <w:rsid w:val="77B370BA"/>
    <w:rsid w:val="78F064D4"/>
    <w:rsid w:val="792C1F81"/>
    <w:rsid w:val="79BB3FC8"/>
    <w:rsid w:val="7A4E2633"/>
    <w:rsid w:val="7C3539BF"/>
    <w:rsid w:val="7DF91237"/>
    <w:rsid w:val="7F0FEA25"/>
    <w:rsid w:val="7FAA1E5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7CE9FA"/>
  <w15:chartTrackingRefBased/>
  <w15:docId w15:val="{C328BA50-C997-404F-BE22-FFB028ABCF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9" w:qFormat="1"/>
    <w:lsdException w:name="heading 2" w:semiHidden="1" w:unhideWhenUsed="1"/>
    <w:lsdException w:name="heading 3" w:semiHidden="1" w:uiPriority="99" w:unhideWhenUsed="1" w:qFormat="1"/>
    <w:lsdException w:name="heading 4" w:uiPriority="99" w:qFormat="1"/>
    <w:lsdException w:name="heading 5" w:uiPriority="99" w:qFormat="1"/>
    <w:lsdException w:name="heading 6" w:semiHidden="1" w:uiPriority="99"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toc 1" w:uiPriority="39"/>
    <w:lsdException w:name="toc 2" w:uiPriority="39"/>
    <w:lsdException w:name="toc 3" w:uiPriority="39"/>
    <w:lsdException w:name="toc 4"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endnote reference" w:uiPriority="99"/>
    <w:lsdException w:name="endnote text" w:uiPriority="99"/>
    <w:lsdException w:name="Body Text" w:uiPriority="99"/>
    <w:lsdException w:name="Body Text Indent" w:uiPriority="99"/>
    <w:lsdException w:name="Body Text 2" w:uiPriority="99"/>
    <w:lsdException w:name="Body Text 3" w:uiPriority="99"/>
    <w:lsdException w:name="Hyperlink" w:uiPriority="99"/>
    <w:lsdException w:name="FollowedHyperlink" w:uiPriority="99"/>
    <w:lsdException w:name="Strong" w:uiPriority="22" w:qFormat="1"/>
    <w:lsdException w:name="Normal (Web)" w:uiPriority="99"/>
    <w:lsdException w:name="Normal Table" w:semiHidden="1" w:unhideWhenUsed="1"/>
    <w:lsdException w:name="annotation subjec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9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A397E"/>
    <w:rPr>
      <w:sz w:val="24"/>
      <w:szCs w:val="24"/>
    </w:rPr>
  </w:style>
  <w:style w:type="paragraph" w:styleId="Heading1">
    <w:name w:val="heading 1"/>
    <w:basedOn w:val="Normal"/>
    <w:next w:val="Normal"/>
    <w:link w:val="Heading1Char"/>
    <w:uiPriority w:val="99"/>
    <w:qFormat/>
    <w:rsid w:val="009139A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nhideWhenUsed/>
    <w:rsid w:val="002870D3"/>
    <w:pPr>
      <w:keepNext/>
      <w:spacing w:before="240" w:after="60"/>
      <w:outlineLvl w:val="1"/>
    </w:pPr>
    <w:rPr>
      <w:rFonts w:ascii="Calibri Light" w:hAnsi="Calibri Light"/>
      <w:b/>
      <w:bCs/>
      <w:i/>
      <w:iCs/>
      <w:sz w:val="28"/>
      <w:szCs w:val="28"/>
    </w:rPr>
  </w:style>
  <w:style w:type="paragraph" w:styleId="Heading3">
    <w:name w:val="heading 3"/>
    <w:basedOn w:val="Normal"/>
    <w:next w:val="Normal"/>
    <w:link w:val="Heading3Char"/>
    <w:uiPriority w:val="99"/>
    <w:qFormat/>
    <w:rsid w:val="006E5D33"/>
    <w:pPr>
      <w:keepNext/>
      <w:spacing w:before="240" w:after="60"/>
      <w:outlineLvl w:val="2"/>
    </w:pPr>
    <w:rPr>
      <w:rFonts w:ascii="Cambria" w:hAnsi="Cambria" w:cs="Cambria"/>
      <w:b/>
      <w:bCs/>
      <w:sz w:val="26"/>
      <w:szCs w:val="26"/>
    </w:rPr>
  </w:style>
  <w:style w:type="paragraph" w:styleId="Heading4">
    <w:name w:val="heading 4"/>
    <w:basedOn w:val="Normal"/>
    <w:next w:val="Normal"/>
    <w:link w:val="Heading4Char"/>
    <w:uiPriority w:val="99"/>
    <w:qFormat/>
    <w:rsid w:val="009E068C"/>
    <w:pPr>
      <w:keepNext/>
      <w:spacing w:before="240" w:after="60"/>
      <w:outlineLvl w:val="3"/>
    </w:pPr>
    <w:rPr>
      <w:b/>
      <w:bCs/>
      <w:sz w:val="28"/>
      <w:szCs w:val="28"/>
    </w:rPr>
  </w:style>
  <w:style w:type="paragraph" w:styleId="Heading5">
    <w:name w:val="heading 5"/>
    <w:basedOn w:val="Normal"/>
    <w:next w:val="Normal"/>
    <w:link w:val="Heading5Char"/>
    <w:uiPriority w:val="99"/>
    <w:qFormat/>
    <w:rsid w:val="00220E51"/>
    <w:pPr>
      <w:keepNext/>
      <w:outlineLvl w:val="4"/>
    </w:pPr>
    <w:rPr>
      <w:rFonts w:ascii="Maiandra GD" w:hAnsi="Maiandra GD" w:cs="Arial"/>
      <w:bCs/>
      <w:caps/>
      <w:sz w:val="40"/>
      <w:szCs w:val="48"/>
    </w:rPr>
  </w:style>
  <w:style w:type="paragraph" w:styleId="Heading6">
    <w:name w:val="heading 6"/>
    <w:basedOn w:val="Normal"/>
    <w:next w:val="Normal"/>
    <w:link w:val="Heading6Char"/>
    <w:uiPriority w:val="99"/>
    <w:unhideWhenUsed/>
    <w:qFormat/>
    <w:rsid w:val="00884973"/>
    <w:pPr>
      <w:keepNext/>
      <w:keepLines/>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9"/>
    <w:qFormat/>
    <w:rsid w:val="006E5D33"/>
    <w:pPr>
      <w:keepNext/>
      <w:outlineLvl w:val="6"/>
    </w:pPr>
    <w:rPr>
      <w:rFonts w:ascii="Arial" w:hAnsi="Arial" w:cs="Arial"/>
      <w:i/>
      <w:iCs/>
      <w:sz w:val="18"/>
      <w:szCs w:val="18"/>
    </w:rPr>
  </w:style>
  <w:style w:type="paragraph" w:styleId="Heading8">
    <w:name w:val="heading 8"/>
    <w:basedOn w:val="Normal"/>
    <w:next w:val="Normal"/>
    <w:link w:val="Heading8Char"/>
    <w:uiPriority w:val="99"/>
    <w:unhideWhenUsed/>
    <w:qFormat/>
    <w:rsid w:val="00884973"/>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qFormat/>
    <w:rsid w:val="006E5D33"/>
    <w:pPr>
      <w:keepNext/>
      <w:keepLines/>
      <w:spacing w:before="200"/>
      <w:outlineLvl w:val="8"/>
    </w:pPr>
    <w:rPr>
      <w:rFonts w:ascii="Arial" w:hAnsi="Arial" w:cs="Arial"/>
      <w:b/>
      <w:iCs/>
      <w:color w:val="404040"/>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rsid w:val="009E068C"/>
    <w:pPr>
      <w:jc w:val="both"/>
    </w:pPr>
    <w:rPr>
      <w:szCs w:val="20"/>
    </w:rPr>
  </w:style>
  <w:style w:type="paragraph" w:styleId="EndnoteText">
    <w:name w:val="endnote text"/>
    <w:basedOn w:val="Normal"/>
    <w:link w:val="EndnoteTextChar"/>
    <w:uiPriority w:val="99"/>
    <w:semiHidden/>
    <w:rsid w:val="009E068C"/>
    <w:rPr>
      <w:sz w:val="20"/>
      <w:szCs w:val="20"/>
    </w:rPr>
  </w:style>
  <w:style w:type="character" w:styleId="EndnoteReference">
    <w:name w:val="endnote reference"/>
    <w:uiPriority w:val="99"/>
    <w:semiHidden/>
    <w:rsid w:val="009E068C"/>
    <w:rPr>
      <w:vertAlign w:val="superscript"/>
    </w:rPr>
  </w:style>
  <w:style w:type="paragraph" w:styleId="BodyText2">
    <w:name w:val="Body Text 2"/>
    <w:basedOn w:val="Normal"/>
    <w:link w:val="BodyText2Char"/>
    <w:uiPriority w:val="99"/>
    <w:rsid w:val="009E068C"/>
    <w:pPr>
      <w:spacing w:after="120" w:line="480" w:lineRule="auto"/>
    </w:pPr>
  </w:style>
  <w:style w:type="character" w:styleId="Hyperlink">
    <w:name w:val="Hyperlink"/>
    <w:uiPriority w:val="99"/>
    <w:rsid w:val="009E068C"/>
    <w:rPr>
      <w:color w:val="0000FF"/>
      <w:u w:val="single"/>
    </w:rPr>
  </w:style>
  <w:style w:type="paragraph" w:styleId="FootnoteText">
    <w:name w:val="footnote text"/>
    <w:basedOn w:val="Normal"/>
    <w:link w:val="FootnoteTextChar"/>
    <w:uiPriority w:val="99"/>
    <w:semiHidden/>
    <w:rsid w:val="009E068C"/>
    <w:rPr>
      <w:sz w:val="20"/>
      <w:szCs w:val="20"/>
    </w:rPr>
  </w:style>
  <w:style w:type="character" w:styleId="FootnoteReference">
    <w:name w:val="footnote reference"/>
    <w:uiPriority w:val="99"/>
    <w:semiHidden/>
    <w:rsid w:val="009E068C"/>
    <w:rPr>
      <w:vertAlign w:val="superscript"/>
    </w:rPr>
  </w:style>
  <w:style w:type="character" w:styleId="CommentReference">
    <w:name w:val="annotation reference"/>
    <w:uiPriority w:val="99"/>
    <w:semiHidden/>
    <w:rsid w:val="009E068C"/>
    <w:rPr>
      <w:sz w:val="16"/>
      <w:szCs w:val="16"/>
    </w:rPr>
  </w:style>
  <w:style w:type="paragraph" w:styleId="CommentText">
    <w:name w:val="annotation text"/>
    <w:basedOn w:val="Normal"/>
    <w:link w:val="CommentTextChar"/>
    <w:uiPriority w:val="99"/>
    <w:semiHidden/>
    <w:rsid w:val="009E068C"/>
    <w:rPr>
      <w:sz w:val="20"/>
      <w:szCs w:val="20"/>
    </w:rPr>
  </w:style>
  <w:style w:type="paragraph" w:styleId="CommentSubject">
    <w:name w:val="annotation subject"/>
    <w:basedOn w:val="CommentText"/>
    <w:next w:val="CommentText"/>
    <w:link w:val="CommentSubjectChar"/>
    <w:uiPriority w:val="99"/>
    <w:semiHidden/>
    <w:rsid w:val="009E068C"/>
    <w:rPr>
      <w:b/>
      <w:bCs/>
    </w:rPr>
  </w:style>
  <w:style w:type="paragraph" w:styleId="BalloonText">
    <w:name w:val="Balloon Text"/>
    <w:basedOn w:val="Normal"/>
    <w:link w:val="BalloonTextChar"/>
    <w:uiPriority w:val="99"/>
    <w:semiHidden/>
    <w:rsid w:val="009E068C"/>
    <w:rPr>
      <w:rFonts w:ascii="Tahoma" w:hAnsi="Tahoma" w:cs="Tahoma"/>
      <w:sz w:val="16"/>
      <w:szCs w:val="16"/>
    </w:rPr>
  </w:style>
  <w:style w:type="character" w:styleId="FollowedHyperlink">
    <w:name w:val="FollowedHyperlink"/>
    <w:uiPriority w:val="99"/>
    <w:rsid w:val="00C57D7C"/>
    <w:rPr>
      <w:color w:val="800080"/>
      <w:u w:val="single"/>
    </w:rPr>
  </w:style>
  <w:style w:type="paragraph" w:styleId="Header">
    <w:name w:val="header"/>
    <w:basedOn w:val="Normal"/>
    <w:link w:val="HeaderChar"/>
    <w:uiPriority w:val="99"/>
    <w:rsid w:val="00002DDB"/>
    <w:pPr>
      <w:tabs>
        <w:tab w:val="center" w:pos="4680"/>
        <w:tab w:val="right" w:pos="9360"/>
      </w:tabs>
    </w:pPr>
  </w:style>
  <w:style w:type="character" w:customStyle="1" w:styleId="HeaderChar">
    <w:name w:val="Header Char"/>
    <w:link w:val="Header"/>
    <w:uiPriority w:val="99"/>
    <w:rsid w:val="00002DDB"/>
    <w:rPr>
      <w:sz w:val="24"/>
      <w:szCs w:val="24"/>
    </w:rPr>
  </w:style>
  <w:style w:type="paragraph" w:styleId="Footer">
    <w:name w:val="footer"/>
    <w:basedOn w:val="Normal"/>
    <w:link w:val="FooterChar"/>
    <w:uiPriority w:val="99"/>
    <w:rsid w:val="00002DDB"/>
    <w:pPr>
      <w:tabs>
        <w:tab w:val="center" w:pos="4680"/>
        <w:tab w:val="right" w:pos="9360"/>
      </w:tabs>
    </w:pPr>
  </w:style>
  <w:style w:type="character" w:customStyle="1" w:styleId="FooterChar">
    <w:name w:val="Footer Char"/>
    <w:link w:val="Footer"/>
    <w:uiPriority w:val="99"/>
    <w:rsid w:val="00002DDB"/>
    <w:rPr>
      <w:sz w:val="24"/>
      <w:szCs w:val="24"/>
    </w:rPr>
  </w:style>
  <w:style w:type="paragraph" w:styleId="DocumentMap">
    <w:name w:val="Document Map"/>
    <w:basedOn w:val="Normal"/>
    <w:link w:val="DocumentMapChar"/>
    <w:rsid w:val="00002DDB"/>
    <w:rPr>
      <w:rFonts w:ascii="Tahoma" w:hAnsi="Tahoma" w:cs="Tahoma"/>
      <w:sz w:val="16"/>
      <w:szCs w:val="16"/>
    </w:rPr>
  </w:style>
  <w:style w:type="character" w:customStyle="1" w:styleId="DocumentMapChar">
    <w:name w:val="Document Map Char"/>
    <w:link w:val="DocumentMap"/>
    <w:rsid w:val="00002DDB"/>
    <w:rPr>
      <w:rFonts w:ascii="Tahoma" w:hAnsi="Tahoma" w:cs="Tahoma"/>
      <w:sz w:val="16"/>
      <w:szCs w:val="16"/>
    </w:rPr>
  </w:style>
  <w:style w:type="character" w:styleId="PageNumber">
    <w:name w:val="page number"/>
    <w:basedOn w:val="DefaultParagraphFont"/>
    <w:rsid w:val="005923B0"/>
  </w:style>
  <w:style w:type="paragraph" w:styleId="Caption">
    <w:name w:val="caption"/>
    <w:basedOn w:val="Normal"/>
    <w:next w:val="Normal"/>
    <w:qFormat/>
    <w:rsid w:val="00C20D98"/>
    <w:rPr>
      <w:b/>
      <w:bCs/>
      <w:sz w:val="20"/>
      <w:szCs w:val="20"/>
    </w:rPr>
  </w:style>
  <w:style w:type="character" w:customStyle="1" w:styleId="FootnoteTextChar">
    <w:name w:val="Footnote Text Char"/>
    <w:basedOn w:val="DefaultParagraphFont"/>
    <w:link w:val="FootnoteText"/>
    <w:uiPriority w:val="99"/>
    <w:semiHidden/>
    <w:locked/>
    <w:rsid w:val="00F9042A"/>
  </w:style>
  <w:style w:type="paragraph" w:styleId="ListParagraph">
    <w:name w:val="List Paragraph"/>
    <w:basedOn w:val="Normal"/>
    <w:uiPriority w:val="34"/>
    <w:qFormat/>
    <w:rsid w:val="00006D17"/>
    <w:pPr>
      <w:spacing w:after="160" w:line="259" w:lineRule="auto"/>
      <w:ind w:left="720"/>
      <w:contextualSpacing/>
    </w:pPr>
    <w:rPr>
      <w:rFonts w:ascii="Calibri" w:eastAsia="Calibri" w:hAnsi="Calibri"/>
      <w:sz w:val="22"/>
      <w:szCs w:val="22"/>
    </w:rPr>
  </w:style>
  <w:style w:type="paragraph" w:styleId="Revision">
    <w:name w:val="Revision"/>
    <w:hidden/>
    <w:uiPriority w:val="99"/>
    <w:semiHidden/>
    <w:rsid w:val="00D17E36"/>
    <w:rPr>
      <w:sz w:val="24"/>
      <w:szCs w:val="24"/>
    </w:rPr>
  </w:style>
  <w:style w:type="character" w:styleId="UnresolvedMention">
    <w:name w:val="Unresolved Mention"/>
    <w:uiPriority w:val="99"/>
    <w:unhideWhenUsed/>
    <w:rsid w:val="0013614F"/>
    <w:rPr>
      <w:color w:val="605E5C"/>
      <w:shd w:val="clear" w:color="auto" w:fill="E1DFDD"/>
    </w:rPr>
  </w:style>
  <w:style w:type="character" w:customStyle="1" w:styleId="EndnoteTextChar">
    <w:name w:val="Endnote Text Char"/>
    <w:link w:val="EndnoteText"/>
    <w:uiPriority w:val="99"/>
    <w:semiHidden/>
    <w:locked/>
    <w:rsid w:val="00551BA8"/>
  </w:style>
  <w:style w:type="paragraph" w:styleId="BodyTextIndent">
    <w:name w:val="Body Text Indent"/>
    <w:basedOn w:val="Normal"/>
    <w:link w:val="BodyTextIndentChar"/>
    <w:uiPriority w:val="99"/>
    <w:rsid w:val="00551BA8"/>
    <w:pPr>
      <w:spacing w:after="120"/>
      <w:ind w:left="360"/>
    </w:pPr>
  </w:style>
  <w:style w:type="character" w:customStyle="1" w:styleId="BodyTextIndentChar">
    <w:name w:val="Body Text Indent Char"/>
    <w:link w:val="BodyTextIndent"/>
    <w:uiPriority w:val="99"/>
    <w:rsid w:val="00551BA8"/>
    <w:rPr>
      <w:sz w:val="24"/>
      <w:szCs w:val="24"/>
    </w:rPr>
  </w:style>
  <w:style w:type="table" w:styleId="TableGrid">
    <w:name w:val="Table Grid"/>
    <w:basedOn w:val="TableNormal"/>
    <w:uiPriority w:val="99"/>
    <w:rsid w:val="001774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link w:val="Heading2"/>
    <w:rsid w:val="002870D3"/>
    <w:rPr>
      <w:rFonts w:ascii="Calibri Light" w:eastAsia="Times New Roman" w:hAnsi="Calibri Light" w:cs="Times New Roman"/>
      <w:b/>
      <w:bCs/>
      <w:i/>
      <w:iCs/>
      <w:sz w:val="28"/>
      <w:szCs w:val="28"/>
    </w:rPr>
  </w:style>
  <w:style w:type="character" w:styleId="Mention">
    <w:name w:val="Mention"/>
    <w:uiPriority w:val="99"/>
    <w:unhideWhenUsed/>
    <w:rsid w:val="006834E1"/>
    <w:rPr>
      <w:color w:val="2B579A"/>
      <w:shd w:val="clear" w:color="auto" w:fill="E1DFDD"/>
    </w:rPr>
  </w:style>
  <w:style w:type="character" w:customStyle="1" w:styleId="Heading1Char">
    <w:name w:val="Heading 1 Char"/>
    <w:basedOn w:val="DefaultParagraphFont"/>
    <w:link w:val="Heading1"/>
    <w:uiPriority w:val="99"/>
    <w:rsid w:val="009139A2"/>
    <w:rPr>
      <w:rFonts w:asciiTheme="majorHAnsi" w:eastAsiaTheme="majorEastAsia" w:hAnsiTheme="majorHAnsi" w:cstheme="majorBidi"/>
      <w:color w:val="2F5496" w:themeColor="accent1" w:themeShade="BF"/>
      <w:sz w:val="32"/>
      <w:szCs w:val="32"/>
    </w:rPr>
  </w:style>
  <w:style w:type="paragraph" w:customStyle="1" w:styleId="WMP-header1">
    <w:name w:val="WMP-header1"/>
    <w:basedOn w:val="Normal"/>
    <w:link w:val="WMP-header1Char"/>
    <w:qFormat/>
    <w:rsid w:val="00CB00A8"/>
    <w:rPr>
      <w:rFonts w:ascii="Arial" w:hAnsi="Arial" w:cs="Arial"/>
      <w:b/>
      <w:sz w:val="56"/>
      <w:szCs w:val="22"/>
    </w:rPr>
  </w:style>
  <w:style w:type="paragraph" w:customStyle="1" w:styleId="WMP-header2">
    <w:name w:val="WMP-header2"/>
    <w:basedOn w:val="WMP-header1"/>
    <w:link w:val="WMP-header2Char"/>
    <w:qFormat/>
    <w:rsid w:val="00CB00A8"/>
    <w:rPr>
      <w:sz w:val="36"/>
    </w:rPr>
  </w:style>
  <w:style w:type="character" w:customStyle="1" w:styleId="WMP-header1Char">
    <w:name w:val="WMP-header1 Char"/>
    <w:basedOn w:val="DefaultParagraphFont"/>
    <w:link w:val="WMP-header1"/>
    <w:rsid w:val="00CB00A8"/>
    <w:rPr>
      <w:rFonts w:ascii="Arial" w:hAnsi="Arial" w:cs="Arial"/>
      <w:b/>
      <w:sz w:val="56"/>
      <w:szCs w:val="22"/>
    </w:rPr>
  </w:style>
  <w:style w:type="paragraph" w:customStyle="1" w:styleId="WMP-header3">
    <w:name w:val="WMP-header3"/>
    <w:basedOn w:val="WMP-header2"/>
    <w:link w:val="WMP-header3Char"/>
    <w:qFormat/>
    <w:rsid w:val="00CB00A8"/>
    <w:rPr>
      <w:b w:val="0"/>
      <w:sz w:val="32"/>
    </w:rPr>
  </w:style>
  <w:style w:type="character" w:customStyle="1" w:styleId="WMP-header2Char">
    <w:name w:val="WMP-header2 Char"/>
    <w:basedOn w:val="WMP-header1Char"/>
    <w:link w:val="WMP-header2"/>
    <w:rsid w:val="00CB00A8"/>
    <w:rPr>
      <w:rFonts w:ascii="Arial" w:hAnsi="Arial" w:cs="Arial"/>
      <w:b/>
      <w:sz w:val="36"/>
      <w:szCs w:val="22"/>
    </w:rPr>
  </w:style>
  <w:style w:type="paragraph" w:customStyle="1" w:styleId="WMP-header4">
    <w:name w:val="WMP-header4"/>
    <w:basedOn w:val="WMP-header3"/>
    <w:link w:val="WMP-header4Char"/>
    <w:qFormat/>
    <w:rsid w:val="00055B73"/>
    <w:rPr>
      <w:sz w:val="28"/>
    </w:rPr>
  </w:style>
  <w:style w:type="character" w:customStyle="1" w:styleId="WMP-header3Char">
    <w:name w:val="WMP-header3 Char"/>
    <w:basedOn w:val="WMP-header2Char"/>
    <w:link w:val="WMP-header3"/>
    <w:rsid w:val="00CB00A8"/>
    <w:rPr>
      <w:rFonts w:ascii="Arial" w:hAnsi="Arial" w:cs="Arial"/>
      <w:b w:val="0"/>
      <w:sz w:val="32"/>
      <w:szCs w:val="22"/>
    </w:rPr>
  </w:style>
  <w:style w:type="paragraph" w:customStyle="1" w:styleId="WMP-table-figure-caption">
    <w:name w:val="WMP-table-figure-caption"/>
    <w:basedOn w:val="WMP-header1"/>
    <w:link w:val="WMP-table-figure-captionChar"/>
    <w:qFormat/>
    <w:rsid w:val="00055B73"/>
    <w:rPr>
      <w:b w:val="0"/>
      <w:i/>
      <w:sz w:val="18"/>
    </w:rPr>
  </w:style>
  <w:style w:type="character" w:customStyle="1" w:styleId="WMP-header4Char">
    <w:name w:val="WMP-header4 Char"/>
    <w:basedOn w:val="WMP-header3Char"/>
    <w:link w:val="WMP-header4"/>
    <w:rsid w:val="00055B73"/>
    <w:rPr>
      <w:rFonts w:ascii="Arial" w:hAnsi="Arial" w:cs="Arial"/>
      <w:b w:val="0"/>
      <w:sz w:val="28"/>
      <w:szCs w:val="22"/>
    </w:rPr>
  </w:style>
  <w:style w:type="paragraph" w:customStyle="1" w:styleId="WMP-normaltext">
    <w:name w:val="WMP-normal text"/>
    <w:basedOn w:val="WMP-table-figure-caption"/>
    <w:link w:val="WMP-normaltextChar"/>
    <w:qFormat/>
    <w:rsid w:val="00893576"/>
    <w:rPr>
      <w:i w:val="0"/>
      <w:sz w:val="22"/>
    </w:rPr>
  </w:style>
  <w:style w:type="character" w:customStyle="1" w:styleId="WMP-table-figure-captionChar">
    <w:name w:val="WMP-table-figure-caption Char"/>
    <w:basedOn w:val="WMP-header1Char"/>
    <w:link w:val="WMP-table-figure-caption"/>
    <w:rsid w:val="00055B73"/>
    <w:rPr>
      <w:rFonts w:ascii="Arial" w:hAnsi="Arial" w:cs="Arial"/>
      <w:b w:val="0"/>
      <w:i/>
      <w:sz w:val="18"/>
      <w:szCs w:val="22"/>
    </w:rPr>
  </w:style>
  <w:style w:type="paragraph" w:styleId="TOCHeading">
    <w:name w:val="TOC Heading"/>
    <w:basedOn w:val="Heading1"/>
    <w:next w:val="Normal"/>
    <w:uiPriority w:val="39"/>
    <w:unhideWhenUsed/>
    <w:qFormat/>
    <w:rsid w:val="001D74CD"/>
    <w:pPr>
      <w:spacing w:line="259" w:lineRule="auto"/>
      <w:outlineLvl w:val="9"/>
    </w:pPr>
  </w:style>
  <w:style w:type="character" w:customStyle="1" w:styleId="WMP-normaltextChar">
    <w:name w:val="WMP-normal text Char"/>
    <w:basedOn w:val="WMP-table-figure-captionChar"/>
    <w:link w:val="WMP-normaltext"/>
    <w:rsid w:val="00893576"/>
    <w:rPr>
      <w:rFonts w:ascii="Arial" w:hAnsi="Arial" w:cs="Arial"/>
      <w:b w:val="0"/>
      <w:i w:val="0"/>
      <w:sz w:val="22"/>
      <w:szCs w:val="22"/>
    </w:rPr>
  </w:style>
  <w:style w:type="paragraph" w:styleId="TOC2">
    <w:name w:val="toc 2"/>
    <w:basedOn w:val="Normal"/>
    <w:next w:val="Normal"/>
    <w:autoRedefine/>
    <w:uiPriority w:val="39"/>
    <w:rsid w:val="00B302B2"/>
    <w:pPr>
      <w:spacing w:after="100"/>
      <w:ind w:left="240"/>
    </w:pPr>
    <w:rPr>
      <w:rFonts w:ascii="Arial" w:hAnsi="Arial"/>
      <w:sz w:val="22"/>
    </w:rPr>
  </w:style>
  <w:style w:type="paragraph" w:styleId="TOC1">
    <w:name w:val="toc 1"/>
    <w:basedOn w:val="Normal"/>
    <w:next w:val="Normal"/>
    <w:autoRedefine/>
    <w:uiPriority w:val="39"/>
    <w:rsid w:val="00B302B2"/>
    <w:pPr>
      <w:spacing w:after="100"/>
    </w:pPr>
    <w:rPr>
      <w:rFonts w:ascii="Arial" w:hAnsi="Arial"/>
      <w:sz w:val="28"/>
    </w:rPr>
  </w:style>
  <w:style w:type="paragraph" w:styleId="TOC3">
    <w:name w:val="toc 3"/>
    <w:basedOn w:val="Normal"/>
    <w:next w:val="Normal"/>
    <w:autoRedefine/>
    <w:uiPriority w:val="39"/>
    <w:rsid w:val="00B302B2"/>
    <w:pPr>
      <w:spacing w:after="100"/>
      <w:ind w:left="480"/>
    </w:pPr>
    <w:rPr>
      <w:rFonts w:ascii="Arial" w:hAnsi="Arial"/>
      <w:sz w:val="22"/>
    </w:rPr>
  </w:style>
  <w:style w:type="character" w:customStyle="1" w:styleId="Heading6Char">
    <w:name w:val="Heading 6 Char"/>
    <w:basedOn w:val="DefaultParagraphFont"/>
    <w:link w:val="Heading6"/>
    <w:uiPriority w:val="99"/>
    <w:rsid w:val="00884973"/>
    <w:rPr>
      <w:rFonts w:asciiTheme="majorHAnsi" w:eastAsiaTheme="majorEastAsia" w:hAnsiTheme="majorHAnsi" w:cstheme="majorBidi"/>
      <w:color w:val="1F3763" w:themeColor="accent1" w:themeShade="7F"/>
      <w:sz w:val="24"/>
      <w:szCs w:val="24"/>
    </w:rPr>
  </w:style>
  <w:style w:type="character" w:customStyle="1" w:styleId="Heading8Char">
    <w:name w:val="Heading 8 Char"/>
    <w:basedOn w:val="DefaultParagraphFont"/>
    <w:link w:val="Heading8"/>
    <w:uiPriority w:val="99"/>
    <w:rsid w:val="00884973"/>
    <w:rPr>
      <w:rFonts w:asciiTheme="majorHAnsi" w:eastAsiaTheme="majorEastAsia" w:hAnsiTheme="majorHAnsi" w:cstheme="majorBidi"/>
      <w:color w:val="272727" w:themeColor="text1" w:themeTint="D8"/>
      <w:sz w:val="21"/>
      <w:szCs w:val="21"/>
    </w:rPr>
  </w:style>
  <w:style w:type="paragraph" w:styleId="NormalWeb">
    <w:name w:val="Normal (Web)"/>
    <w:basedOn w:val="Normal"/>
    <w:uiPriority w:val="99"/>
    <w:rsid w:val="00884973"/>
    <w:pPr>
      <w:spacing w:before="100" w:beforeAutospacing="1" w:after="100" w:afterAutospacing="1"/>
    </w:pPr>
  </w:style>
  <w:style w:type="character" w:customStyle="1" w:styleId="CommentTextChar">
    <w:name w:val="Comment Text Char"/>
    <w:link w:val="CommentText"/>
    <w:uiPriority w:val="99"/>
    <w:semiHidden/>
    <w:rsid w:val="00884973"/>
  </w:style>
  <w:style w:type="character" w:customStyle="1" w:styleId="Heading3Char">
    <w:name w:val="Heading 3 Char"/>
    <w:basedOn w:val="DefaultParagraphFont"/>
    <w:link w:val="Heading3"/>
    <w:uiPriority w:val="99"/>
    <w:rsid w:val="006E5D33"/>
    <w:rPr>
      <w:rFonts w:ascii="Cambria" w:hAnsi="Cambria" w:cs="Cambria"/>
      <w:b/>
      <w:bCs/>
      <w:sz w:val="26"/>
      <w:szCs w:val="26"/>
    </w:rPr>
  </w:style>
  <w:style w:type="character" w:customStyle="1" w:styleId="Heading7Char">
    <w:name w:val="Heading 7 Char"/>
    <w:basedOn w:val="DefaultParagraphFont"/>
    <w:link w:val="Heading7"/>
    <w:uiPriority w:val="99"/>
    <w:rsid w:val="006E5D33"/>
    <w:rPr>
      <w:rFonts w:ascii="Arial" w:hAnsi="Arial" w:cs="Arial"/>
      <w:i/>
      <w:iCs/>
      <w:sz w:val="18"/>
      <w:szCs w:val="18"/>
    </w:rPr>
  </w:style>
  <w:style w:type="character" w:customStyle="1" w:styleId="Heading9Char">
    <w:name w:val="Heading 9 Char"/>
    <w:basedOn w:val="DefaultParagraphFont"/>
    <w:link w:val="Heading9"/>
    <w:uiPriority w:val="99"/>
    <w:rsid w:val="006E5D33"/>
    <w:rPr>
      <w:rFonts w:ascii="Arial" w:hAnsi="Arial" w:cs="Arial"/>
      <w:b/>
      <w:iCs/>
      <w:color w:val="404040"/>
      <w:sz w:val="32"/>
      <w:szCs w:val="32"/>
    </w:rPr>
  </w:style>
  <w:style w:type="character" w:customStyle="1" w:styleId="BalloonTextChar">
    <w:name w:val="Balloon Text Char"/>
    <w:basedOn w:val="DefaultParagraphFont"/>
    <w:link w:val="BalloonText"/>
    <w:uiPriority w:val="99"/>
    <w:semiHidden/>
    <w:rsid w:val="006E5D33"/>
    <w:rPr>
      <w:rFonts w:ascii="Tahoma" w:hAnsi="Tahoma" w:cs="Tahoma"/>
      <w:sz w:val="16"/>
      <w:szCs w:val="16"/>
    </w:rPr>
  </w:style>
  <w:style w:type="character" w:customStyle="1" w:styleId="Heading4Char">
    <w:name w:val="Heading 4 Char"/>
    <w:basedOn w:val="DefaultParagraphFont"/>
    <w:link w:val="Heading4"/>
    <w:uiPriority w:val="99"/>
    <w:rsid w:val="006E5D33"/>
    <w:rPr>
      <w:b/>
      <w:bCs/>
      <w:sz w:val="28"/>
      <w:szCs w:val="28"/>
    </w:rPr>
  </w:style>
  <w:style w:type="character" w:customStyle="1" w:styleId="Heading5Char">
    <w:name w:val="Heading 5 Char"/>
    <w:basedOn w:val="DefaultParagraphFont"/>
    <w:link w:val="Heading5"/>
    <w:uiPriority w:val="99"/>
    <w:rsid w:val="006E5D33"/>
    <w:rPr>
      <w:rFonts w:ascii="Maiandra GD" w:hAnsi="Maiandra GD" w:cs="Arial"/>
      <w:bCs/>
      <w:caps/>
      <w:sz w:val="40"/>
      <w:szCs w:val="48"/>
    </w:rPr>
  </w:style>
  <w:style w:type="character" w:customStyle="1" w:styleId="BodyTextChar">
    <w:name w:val="Body Text Char"/>
    <w:basedOn w:val="DefaultParagraphFont"/>
    <w:link w:val="BodyText"/>
    <w:uiPriority w:val="99"/>
    <w:rsid w:val="006E5D33"/>
    <w:rPr>
      <w:sz w:val="24"/>
    </w:rPr>
  </w:style>
  <w:style w:type="paragraph" w:styleId="BodyText3">
    <w:name w:val="Body Text 3"/>
    <w:basedOn w:val="Normal"/>
    <w:link w:val="BodyText3Char"/>
    <w:uiPriority w:val="99"/>
    <w:rsid w:val="006E5D33"/>
    <w:rPr>
      <w:rFonts w:ascii="Arial" w:hAnsi="Arial" w:cs="Arial"/>
      <w:b/>
      <w:bCs/>
      <w:sz w:val="20"/>
      <w:szCs w:val="20"/>
    </w:rPr>
  </w:style>
  <w:style w:type="character" w:customStyle="1" w:styleId="BodyText3Char">
    <w:name w:val="Body Text 3 Char"/>
    <w:basedOn w:val="DefaultParagraphFont"/>
    <w:link w:val="BodyText3"/>
    <w:uiPriority w:val="99"/>
    <w:rsid w:val="006E5D33"/>
    <w:rPr>
      <w:rFonts w:ascii="Arial" w:hAnsi="Arial" w:cs="Arial"/>
      <w:b/>
      <w:bCs/>
    </w:rPr>
  </w:style>
  <w:style w:type="character" w:customStyle="1" w:styleId="BodyText2Char">
    <w:name w:val="Body Text 2 Char"/>
    <w:basedOn w:val="DefaultParagraphFont"/>
    <w:link w:val="BodyText2"/>
    <w:uiPriority w:val="99"/>
    <w:rsid w:val="006E5D33"/>
    <w:rPr>
      <w:sz w:val="24"/>
      <w:szCs w:val="24"/>
    </w:rPr>
  </w:style>
  <w:style w:type="character" w:customStyle="1" w:styleId="CommentSubjectChar">
    <w:name w:val="Comment Subject Char"/>
    <w:basedOn w:val="CommentTextChar"/>
    <w:link w:val="CommentSubject"/>
    <w:uiPriority w:val="99"/>
    <w:semiHidden/>
    <w:rsid w:val="006E5D33"/>
    <w:rPr>
      <w:b/>
      <w:bCs/>
    </w:rPr>
  </w:style>
  <w:style w:type="character" w:customStyle="1" w:styleId="EndnoteTextChar1">
    <w:name w:val="Endnote Text Char1"/>
    <w:uiPriority w:val="99"/>
    <w:semiHidden/>
    <w:locked/>
    <w:rsid w:val="006E5D33"/>
    <w:rPr>
      <w:rFonts w:ascii="Times New Roman" w:hAnsi="Times New Roman" w:cs="Times New Roman"/>
      <w:sz w:val="20"/>
      <w:szCs w:val="20"/>
    </w:rPr>
  </w:style>
  <w:style w:type="character" w:styleId="Strong">
    <w:name w:val="Strong"/>
    <w:basedOn w:val="DefaultParagraphFont"/>
    <w:uiPriority w:val="22"/>
    <w:qFormat/>
    <w:rsid w:val="006E5D33"/>
    <w:rPr>
      <w:b/>
      <w:bCs/>
    </w:rPr>
  </w:style>
  <w:style w:type="character" w:customStyle="1" w:styleId="nlmstring-name">
    <w:name w:val="nlm_string-name"/>
    <w:basedOn w:val="DefaultParagraphFont"/>
    <w:rsid w:val="006E5D33"/>
  </w:style>
  <w:style w:type="table" w:styleId="GridTable1Light-Accent1">
    <w:name w:val="Grid Table 1 Light Accent 1"/>
    <w:basedOn w:val="TableNormal"/>
    <w:uiPriority w:val="46"/>
    <w:rsid w:val="006E5D33"/>
    <w:rPr>
      <w:rFonts w:asciiTheme="minorHAnsi" w:eastAsiaTheme="minorHAnsi" w:hAnsiTheme="minorHAnsi" w:cstheme="minorBidi"/>
      <w:sz w:val="22"/>
      <w:szCs w:val="22"/>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styleId="TOC4">
    <w:name w:val="toc 4"/>
    <w:basedOn w:val="Normal"/>
    <w:next w:val="Normal"/>
    <w:autoRedefine/>
    <w:uiPriority w:val="39"/>
    <w:rsid w:val="0084647B"/>
    <w:pPr>
      <w:spacing w:after="100"/>
      <w:ind w:left="720"/>
    </w:pPr>
    <w:rPr>
      <w:rFonts w:ascii="Arial" w:hAnsi="Arial"/>
      <w:sz w:val="22"/>
    </w:rPr>
  </w:style>
  <w:style w:type="character" w:customStyle="1" w:styleId="normaltextrun">
    <w:name w:val="normaltextrun"/>
    <w:basedOn w:val="DefaultParagraphFont"/>
    <w:rsid w:val="001C60DD"/>
  </w:style>
  <w:style w:type="character" w:customStyle="1" w:styleId="eop">
    <w:name w:val="eop"/>
    <w:basedOn w:val="DefaultParagraphFont"/>
    <w:rsid w:val="001C60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826694">
      <w:bodyDiv w:val="1"/>
      <w:marLeft w:val="0"/>
      <w:marRight w:val="0"/>
      <w:marTop w:val="0"/>
      <w:marBottom w:val="0"/>
      <w:divBdr>
        <w:top w:val="none" w:sz="0" w:space="0" w:color="auto"/>
        <w:left w:val="none" w:sz="0" w:space="0" w:color="auto"/>
        <w:bottom w:val="none" w:sz="0" w:space="0" w:color="auto"/>
        <w:right w:val="none" w:sz="0" w:space="0" w:color="auto"/>
      </w:divBdr>
    </w:div>
    <w:div w:id="97722961">
      <w:bodyDiv w:val="1"/>
      <w:marLeft w:val="0"/>
      <w:marRight w:val="0"/>
      <w:marTop w:val="0"/>
      <w:marBottom w:val="0"/>
      <w:divBdr>
        <w:top w:val="none" w:sz="0" w:space="0" w:color="auto"/>
        <w:left w:val="none" w:sz="0" w:space="0" w:color="auto"/>
        <w:bottom w:val="none" w:sz="0" w:space="0" w:color="auto"/>
        <w:right w:val="none" w:sz="0" w:space="0" w:color="auto"/>
      </w:divBdr>
    </w:div>
    <w:div w:id="119885378">
      <w:bodyDiv w:val="1"/>
      <w:marLeft w:val="0"/>
      <w:marRight w:val="0"/>
      <w:marTop w:val="0"/>
      <w:marBottom w:val="0"/>
      <w:divBdr>
        <w:top w:val="none" w:sz="0" w:space="0" w:color="auto"/>
        <w:left w:val="none" w:sz="0" w:space="0" w:color="auto"/>
        <w:bottom w:val="none" w:sz="0" w:space="0" w:color="auto"/>
        <w:right w:val="none" w:sz="0" w:space="0" w:color="auto"/>
      </w:divBdr>
    </w:div>
    <w:div w:id="464196398">
      <w:bodyDiv w:val="1"/>
      <w:marLeft w:val="0"/>
      <w:marRight w:val="0"/>
      <w:marTop w:val="0"/>
      <w:marBottom w:val="0"/>
      <w:divBdr>
        <w:top w:val="none" w:sz="0" w:space="0" w:color="auto"/>
        <w:left w:val="none" w:sz="0" w:space="0" w:color="auto"/>
        <w:bottom w:val="none" w:sz="0" w:space="0" w:color="auto"/>
        <w:right w:val="none" w:sz="0" w:space="0" w:color="auto"/>
      </w:divBdr>
    </w:div>
    <w:div w:id="623392025">
      <w:bodyDiv w:val="1"/>
      <w:marLeft w:val="0"/>
      <w:marRight w:val="0"/>
      <w:marTop w:val="0"/>
      <w:marBottom w:val="0"/>
      <w:divBdr>
        <w:top w:val="none" w:sz="0" w:space="0" w:color="auto"/>
        <w:left w:val="none" w:sz="0" w:space="0" w:color="auto"/>
        <w:bottom w:val="none" w:sz="0" w:space="0" w:color="auto"/>
        <w:right w:val="none" w:sz="0" w:space="0" w:color="auto"/>
      </w:divBdr>
    </w:div>
    <w:div w:id="711078262">
      <w:bodyDiv w:val="1"/>
      <w:marLeft w:val="0"/>
      <w:marRight w:val="0"/>
      <w:marTop w:val="0"/>
      <w:marBottom w:val="0"/>
      <w:divBdr>
        <w:top w:val="none" w:sz="0" w:space="0" w:color="auto"/>
        <w:left w:val="none" w:sz="0" w:space="0" w:color="auto"/>
        <w:bottom w:val="none" w:sz="0" w:space="0" w:color="auto"/>
        <w:right w:val="none" w:sz="0" w:space="0" w:color="auto"/>
      </w:divBdr>
    </w:div>
    <w:div w:id="1266772651">
      <w:bodyDiv w:val="1"/>
      <w:marLeft w:val="0"/>
      <w:marRight w:val="0"/>
      <w:marTop w:val="0"/>
      <w:marBottom w:val="0"/>
      <w:divBdr>
        <w:top w:val="none" w:sz="0" w:space="0" w:color="auto"/>
        <w:left w:val="none" w:sz="0" w:space="0" w:color="auto"/>
        <w:bottom w:val="none" w:sz="0" w:space="0" w:color="auto"/>
        <w:right w:val="none" w:sz="0" w:space="0" w:color="auto"/>
      </w:divBdr>
    </w:div>
    <w:div w:id="1598828990">
      <w:bodyDiv w:val="1"/>
      <w:marLeft w:val="0"/>
      <w:marRight w:val="0"/>
      <w:marTop w:val="0"/>
      <w:marBottom w:val="0"/>
      <w:divBdr>
        <w:top w:val="none" w:sz="0" w:space="0" w:color="auto"/>
        <w:left w:val="none" w:sz="0" w:space="0" w:color="auto"/>
        <w:bottom w:val="none" w:sz="0" w:space="0" w:color="auto"/>
        <w:right w:val="none" w:sz="0" w:space="0" w:color="auto"/>
      </w:divBdr>
    </w:div>
    <w:div w:id="1673533082">
      <w:bodyDiv w:val="1"/>
      <w:marLeft w:val="0"/>
      <w:marRight w:val="0"/>
      <w:marTop w:val="0"/>
      <w:marBottom w:val="0"/>
      <w:divBdr>
        <w:top w:val="none" w:sz="0" w:space="0" w:color="auto"/>
        <w:left w:val="none" w:sz="0" w:space="0" w:color="auto"/>
        <w:bottom w:val="none" w:sz="0" w:space="0" w:color="auto"/>
        <w:right w:val="none" w:sz="0" w:space="0" w:color="auto"/>
      </w:divBdr>
    </w:div>
    <w:div w:id="1745687711">
      <w:bodyDiv w:val="1"/>
      <w:marLeft w:val="0"/>
      <w:marRight w:val="0"/>
      <w:marTop w:val="0"/>
      <w:marBottom w:val="0"/>
      <w:divBdr>
        <w:top w:val="none" w:sz="0" w:space="0" w:color="auto"/>
        <w:left w:val="none" w:sz="0" w:space="0" w:color="auto"/>
        <w:bottom w:val="none" w:sz="0" w:space="0" w:color="auto"/>
        <w:right w:val="none" w:sz="0" w:space="0" w:color="auto"/>
      </w:divBdr>
    </w:div>
    <w:div w:id="1813473880">
      <w:bodyDiv w:val="1"/>
      <w:marLeft w:val="0"/>
      <w:marRight w:val="0"/>
      <w:marTop w:val="0"/>
      <w:marBottom w:val="0"/>
      <w:divBdr>
        <w:top w:val="none" w:sz="0" w:space="0" w:color="auto"/>
        <w:left w:val="none" w:sz="0" w:space="0" w:color="auto"/>
        <w:bottom w:val="none" w:sz="0" w:space="0" w:color="auto"/>
        <w:right w:val="none" w:sz="0" w:space="0" w:color="auto"/>
      </w:divBdr>
    </w:div>
    <w:div w:id="1826239963">
      <w:bodyDiv w:val="1"/>
      <w:marLeft w:val="0"/>
      <w:marRight w:val="0"/>
      <w:marTop w:val="0"/>
      <w:marBottom w:val="0"/>
      <w:divBdr>
        <w:top w:val="none" w:sz="0" w:space="0" w:color="auto"/>
        <w:left w:val="none" w:sz="0" w:space="0" w:color="auto"/>
        <w:bottom w:val="none" w:sz="0" w:space="0" w:color="auto"/>
        <w:right w:val="none" w:sz="0" w:space="0" w:color="auto"/>
      </w:divBdr>
    </w:div>
    <w:div w:id="1881044176">
      <w:bodyDiv w:val="1"/>
      <w:marLeft w:val="0"/>
      <w:marRight w:val="0"/>
      <w:marTop w:val="0"/>
      <w:marBottom w:val="0"/>
      <w:divBdr>
        <w:top w:val="none" w:sz="0" w:space="0" w:color="auto"/>
        <w:left w:val="none" w:sz="0" w:space="0" w:color="auto"/>
        <w:bottom w:val="none" w:sz="0" w:space="0" w:color="auto"/>
        <w:right w:val="none" w:sz="0" w:space="0" w:color="auto"/>
      </w:divBdr>
    </w:div>
    <w:div w:id="1884173758">
      <w:bodyDiv w:val="1"/>
      <w:marLeft w:val="0"/>
      <w:marRight w:val="0"/>
      <w:marTop w:val="0"/>
      <w:marBottom w:val="0"/>
      <w:divBdr>
        <w:top w:val="none" w:sz="0" w:space="0" w:color="auto"/>
        <w:left w:val="none" w:sz="0" w:space="0" w:color="auto"/>
        <w:bottom w:val="none" w:sz="0" w:space="0" w:color="auto"/>
        <w:right w:val="none" w:sz="0" w:space="0" w:color="auto"/>
      </w:divBdr>
    </w:div>
    <w:div w:id="1954747861">
      <w:bodyDiv w:val="1"/>
      <w:marLeft w:val="0"/>
      <w:marRight w:val="0"/>
      <w:marTop w:val="0"/>
      <w:marBottom w:val="0"/>
      <w:divBdr>
        <w:top w:val="none" w:sz="0" w:space="0" w:color="auto"/>
        <w:left w:val="none" w:sz="0" w:space="0" w:color="auto"/>
        <w:bottom w:val="none" w:sz="0" w:space="0" w:color="auto"/>
        <w:right w:val="none" w:sz="0" w:space="0" w:color="auto"/>
      </w:divBdr>
    </w:div>
    <w:div w:id="2010937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eader" Target="header3.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2.xml"/><Relationship Id="rId25"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8.png"/><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7.jpeg"/><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6.png"/><Relationship Id="rId27" Type="http://schemas.openxmlformats.org/officeDocument/2006/relationships/theme" Target="theme/theme1.xml"/></Relationships>
</file>

<file path=word/_rels/endnotes.xml.rels><?xml version="1.0" encoding="UTF-8" standalone="yes"?>
<Relationships xmlns="http://schemas.openxmlformats.org/package/2006/relationships"><Relationship Id="rId8" Type="http://schemas.openxmlformats.org/officeDocument/2006/relationships/hyperlink" Target="https://www.hrwc.org/wp-content/uploads/Measuring-Mapping-Procedure_2014.pdf" TargetMode="External"/><Relationship Id="rId13" Type="http://schemas.openxmlformats.org/officeDocument/2006/relationships/hyperlink" Target="https://www.michigan.gov/egle/0,9429,7-135-3313_3681_3686_3728-383659--,00.html" TargetMode="External"/><Relationship Id="rId3" Type="http://schemas.openxmlformats.org/officeDocument/2006/relationships/hyperlink" Target="https://www.semcog.org/population-estimates" TargetMode="External"/><Relationship Id="rId7" Type="http://schemas.openxmlformats.org/officeDocument/2006/relationships/hyperlink" Target="https://www.hrwc.org/wp-content/uploads/2013/08/HCOL_WMP.pdf" TargetMode="External"/><Relationship Id="rId12" Type="http://schemas.openxmlformats.org/officeDocument/2006/relationships/hyperlink" Target="http://www.ci.ann-arbor.mi.us/PublicServices/Water/WTP/EndocrineDisruptors.pdf" TargetMode="External"/><Relationship Id="rId2" Type="http://schemas.openxmlformats.org/officeDocument/2006/relationships/hyperlink" Target="https://semcog.org/custom-community-profiles" TargetMode="External"/><Relationship Id="rId1" Type="http://schemas.openxmlformats.org/officeDocument/2006/relationships/hyperlink" Target="https://www.michigan.gov/egle/about/organization/water-resources/soil-erosion/part-91-agencies" TargetMode="External"/><Relationship Id="rId6" Type="http://schemas.openxmlformats.org/officeDocument/2006/relationships/hyperlink" Target="https://semcog.org/gis" TargetMode="External"/><Relationship Id="rId11" Type="http://schemas.openxmlformats.org/officeDocument/2006/relationships/hyperlink" Target="https://www.michigan.gov/egle/-/media/Project/Websites/egle/Documents/Programs/WRD/SWAS/2022-Integrated-Report.pdf?rev=0a6b006c0cc44bcd936c75d5608659ed&amp;hash=03A5B2B0F3379B07D369F289BA32C483" TargetMode="External"/><Relationship Id="rId5" Type="http://schemas.openxmlformats.org/officeDocument/2006/relationships/hyperlink" Target="https://www.semcog.org/population-estimates" TargetMode="External"/><Relationship Id="rId10" Type="http://schemas.openxmlformats.org/officeDocument/2006/relationships/hyperlink" Target="https://www.hrwc.org/what-we-%20do/programs/watershed-management-planning/middle-huron-WMP-section-2/" TargetMode="External"/><Relationship Id="rId4" Type="http://schemas.openxmlformats.org/officeDocument/2006/relationships/hyperlink" Target="https://semcog.org/custom-community-profiles" TargetMode="External"/><Relationship Id="rId9" Type="http://schemas.openxmlformats.org/officeDocument/2006/relationships/hyperlink" Target="https://www.michigan.gov/documents/deq/wb-swas-procedure51_280711_7.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67d0fad-bc64-4ee3-9d6f-999930f02f50">
      <Terms xmlns="http://schemas.microsoft.com/office/infopath/2007/PartnerControls"/>
    </lcf76f155ced4ddcb4097134ff3c332f>
    <TaxCatchAll xmlns="5fb1ac4b-a505-4ae1-9952-fad26403c642"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054D983ABE98C845A1B700A28D0534C9" ma:contentTypeVersion="17" ma:contentTypeDescription="Create a new document." ma:contentTypeScope="" ma:versionID="befff81c30f6434a8054e8683358bd39">
  <xsd:schema xmlns:xsd="http://www.w3.org/2001/XMLSchema" xmlns:xs="http://www.w3.org/2001/XMLSchema" xmlns:p="http://schemas.microsoft.com/office/2006/metadata/properties" xmlns:ns2="f67d0fad-bc64-4ee3-9d6f-999930f02f50" xmlns:ns3="d7b11498-b253-4c0e-bcd0-a9c9432f3f1d" xmlns:ns4="5fb1ac4b-a505-4ae1-9952-fad26403c642" targetNamespace="http://schemas.microsoft.com/office/2006/metadata/properties" ma:root="true" ma:fieldsID="36418ddc1635ed53062b0bc2dd7b8ea4" ns2:_="" ns3:_="" ns4:_="">
    <xsd:import namespace="f67d0fad-bc64-4ee3-9d6f-999930f02f50"/>
    <xsd:import namespace="d7b11498-b253-4c0e-bcd0-a9c9432f3f1d"/>
    <xsd:import namespace="5fb1ac4b-a505-4ae1-9952-fad26403c64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4: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7d0fad-bc64-4ee3-9d6f-999930f02f5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495791de-a2e4-4ae3-a71d-a36db243457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7b11498-b253-4c0e-bcd0-a9c9432f3f1d"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fb1ac4b-a505-4ae1-9952-fad26403c642"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f17e362-4655-4da2-8209-4621bee094fe}" ma:internalName="TaxCatchAll" ma:showField="CatchAllData" ma:web="5fb1ac4b-a505-4ae1-9952-fad26403c64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D2951F0-5D32-4BD4-ADD9-CA19132DCB8E}">
  <ds:schemaRefs>
    <ds:schemaRef ds:uri="http://schemas.microsoft.com/sharepoint/v3/contenttype/forms"/>
  </ds:schemaRefs>
</ds:datastoreItem>
</file>

<file path=customXml/itemProps2.xml><?xml version="1.0" encoding="utf-8"?>
<ds:datastoreItem xmlns:ds="http://schemas.openxmlformats.org/officeDocument/2006/customXml" ds:itemID="{38130743-1D79-416A-82BC-486F52136012}">
  <ds:schemaRefs>
    <ds:schemaRef ds:uri="http://schemas.openxmlformats.org/officeDocument/2006/bibliography"/>
  </ds:schemaRefs>
</ds:datastoreItem>
</file>

<file path=customXml/itemProps3.xml><?xml version="1.0" encoding="utf-8"?>
<ds:datastoreItem xmlns:ds="http://schemas.openxmlformats.org/officeDocument/2006/customXml" ds:itemID="{BB7FE556-B6D9-42EA-9849-70108A6B7D3F}">
  <ds:schemaRefs>
    <ds:schemaRef ds:uri="http://schemas.microsoft.com/office/2006/metadata/properties"/>
    <ds:schemaRef ds:uri="http://schemas.microsoft.com/office/infopath/2007/PartnerControls"/>
    <ds:schemaRef ds:uri="f67d0fad-bc64-4ee3-9d6f-999930f02f50"/>
    <ds:schemaRef ds:uri="5fb1ac4b-a505-4ae1-9952-fad26403c642"/>
  </ds:schemaRefs>
</ds:datastoreItem>
</file>

<file path=customXml/itemProps4.xml><?xml version="1.0" encoding="utf-8"?>
<ds:datastoreItem xmlns:ds="http://schemas.openxmlformats.org/officeDocument/2006/customXml" ds:itemID="{20E06123-AE06-4609-89DA-DF158F7205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7d0fad-bc64-4ee3-9d6f-999930f02f50"/>
    <ds:schemaRef ds:uri="d7b11498-b253-4c0e-bcd0-a9c9432f3f1d"/>
    <ds:schemaRef ds:uri="5fb1ac4b-a505-4ae1-9952-fad26403c6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2534</TotalTime>
  <Pages>27</Pages>
  <Words>9488</Words>
  <Characters>53094</Characters>
  <Application>Microsoft Office Word</Application>
  <DocSecurity>0</DocSecurity>
  <Lines>442</Lines>
  <Paragraphs>124</Paragraphs>
  <ScaleCrop>false</ScaleCrop>
  <HeadingPairs>
    <vt:vector size="2" baseType="variant">
      <vt:variant>
        <vt:lpstr>Title</vt:lpstr>
      </vt:variant>
      <vt:variant>
        <vt:i4>1</vt:i4>
      </vt:variant>
    </vt:vector>
  </HeadingPairs>
  <TitlesOfParts>
    <vt:vector size="1" baseType="lpstr">
      <vt:lpstr>MH-Sec1-Chapter1.docx</vt:lpstr>
    </vt:vector>
  </TitlesOfParts>
  <Company/>
  <LinksUpToDate>false</LinksUpToDate>
  <CharactersWithSpaces>62458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MH-Sec1-Chapter1.docx</dc:title>
  <dc:subject/>
  <dc:creator>Ric &amp; Kathy</dc:creator>
  <cp:keywords/>
  <cp:lastModifiedBy>Paul Steen</cp:lastModifiedBy>
  <cp:revision>642</cp:revision>
  <cp:lastPrinted>2020-01-17T15:41:00Z</cp:lastPrinted>
  <dcterms:created xsi:type="dcterms:W3CDTF">2022-02-28T17:15:00Z</dcterms:created>
  <dcterms:modified xsi:type="dcterms:W3CDTF">2023-08-24T13:28:00Z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0x010100054D983ABE98C845A1B700A28D0534C9</vt:lpwstr>
  </property>
  <property fmtid="{D5CDD505-2E9C-101B-9397-08002B2CF9AE}" pid="3" name="MSIP_Label_3a2fed65-62e7-46ea-af74-187e0c17143a_Enabled">
    <vt:lpwstr>true</vt:lpwstr>
  </property>
  <property fmtid="{D5CDD505-2E9C-101B-9397-08002B2CF9AE}" pid="4" name="MSIP_Label_3a2fed65-62e7-46ea-af74-187e0c17143a_SetDate">
    <vt:lpwstr>2022-02-28T17:14:49Z</vt:lpwstr>
  </property>
  <property fmtid="{D5CDD505-2E9C-101B-9397-08002B2CF9AE}" pid="5" name="MSIP_Label_3a2fed65-62e7-46ea-af74-187e0c17143a_Method">
    <vt:lpwstr>Privileged</vt:lpwstr>
  </property>
  <property fmtid="{D5CDD505-2E9C-101B-9397-08002B2CF9AE}" pid="6" name="MSIP_Label_3a2fed65-62e7-46ea-af74-187e0c17143a_Name">
    <vt:lpwstr>3a2fed65-62e7-46ea-af74-187e0c17143a</vt:lpwstr>
  </property>
  <property fmtid="{D5CDD505-2E9C-101B-9397-08002B2CF9AE}" pid="7" name="MSIP_Label_3a2fed65-62e7-46ea-af74-187e0c17143a_SiteId">
    <vt:lpwstr>d5fb7087-3777-42ad-966a-892ef47225d1</vt:lpwstr>
  </property>
  <property fmtid="{D5CDD505-2E9C-101B-9397-08002B2CF9AE}" pid="8" name="MSIP_Label_3a2fed65-62e7-46ea-af74-187e0c17143a_ActionId">
    <vt:lpwstr>9a90def5-4b6e-47f2-a762-e5faf08c54e0</vt:lpwstr>
  </property>
  <property fmtid="{D5CDD505-2E9C-101B-9397-08002B2CF9AE}" pid="9" name="MSIP_Label_3a2fed65-62e7-46ea-af74-187e0c17143a_ContentBits">
    <vt:lpwstr>0</vt:lpwstr>
  </property>
  <property fmtid="{D5CDD505-2E9C-101B-9397-08002B2CF9AE}" pid="10" name="MediaServiceImageTags">
    <vt:lpwstr/>
  </property>
</Properties>
</file>